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BE8" w:rsidRPr="00320BB2" w:rsidRDefault="00E60BE8" w:rsidP="00FF507D">
      <w:pPr>
        <w:pStyle w:val="a5"/>
        <w:spacing w:line="240" w:lineRule="auto"/>
        <w:rPr>
          <w:rFonts w:ascii="Arial" w:hAnsi="Arial"/>
          <w:color w:val="FF0000"/>
          <w:szCs w:val="36"/>
          <w:rtl/>
        </w:rPr>
      </w:pPr>
    </w:p>
    <w:p w:rsidR="001C7C39" w:rsidRPr="003E4EB9" w:rsidRDefault="001C7C39" w:rsidP="00116EE2">
      <w:pPr>
        <w:pStyle w:val="a5"/>
        <w:spacing w:line="240" w:lineRule="auto"/>
        <w:outlineLvl w:val="1"/>
        <w:rPr>
          <w:rFonts w:ascii="Arial" w:hAnsi="Arial"/>
          <w:color w:val="000000" w:themeColor="text1"/>
          <w:szCs w:val="36"/>
          <w:rtl/>
        </w:rPr>
      </w:pPr>
      <w:r w:rsidRPr="003E4EB9">
        <w:rPr>
          <w:rFonts w:ascii="Arial" w:hAnsi="Arial"/>
          <w:color w:val="000000" w:themeColor="text1"/>
          <w:szCs w:val="36"/>
          <w:rtl/>
        </w:rPr>
        <w:t xml:space="preserve">פרק </w:t>
      </w:r>
      <w:r w:rsidR="001F5095" w:rsidRPr="003E4EB9">
        <w:rPr>
          <w:rFonts w:ascii="Arial" w:hAnsi="Arial" w:hint="cs"/>
          <w:color w:val="000000" w:themeColor="text1"/>
          <w:szCs w:val="36"/>
          <w:rtl/>
        </w:rPr>
        <w:t>10</w:t>
      </w:r>
      <w:r w:rsidRPr="003E4EB9">
        <w:rPr>
          <w:rFonts w:ascii="Arial" w:hAnsi="Arial"/>
          <w:color w:val="000000" w:themeColor="text1"/>
          <w:szCs w:val="36"/>
          <w:rtl/>
        </w:rPr>
        <w:t xml:space="preserve"> </w:t>
      </w:r>
      <w:r w:rsidR="00377799" w:rsidRPr="003E4EB9">
        <w:rPr>
          <w:rFonts w:ascii="Arial" w:hAnsi="Arial" w:hint="cs"/>
          <w:color w:val="000000" w:themeColor="text1"/>
          <w:szCs w:val="36"/>
          <w:rtl/>
        </w:rPr>
        <w:t>-</w:t>
      </w:r>
      <w:r w:rsidRPr="003E4EB9">
        <w:rPr>
          <w:rFonts w:ascii="Arial" w:hAnsi="Arial"/>
          <w:color w:val="000000" w:themeColor="text1"/>
          <w:szCs w:val="36"/>
          <w:rtl/>
        </w:rPr>
        <w:t xml:space="preserve"> </w:t>
      </w:r>
      <w:r w:rsidR="00D57B35" w:rsidRPr="003E4EB9">
        <w:rPr>
          <w:rFonts w:ascii="Arial" w:hAnsi="Arial" w:hint="cs"/>
          <w:color w:val="000000" w:themeColor="text1"/>
          <w:szCs w:val="36"/>
          <w:rtl/>
        </w:rPr>
        <w:t>עסקים</w:t>
      </w:r>
      <w:r w:rsidR="00377799" w:rsidRPr="003E4EB9">
        <w:rPr>
          <w:rFonts w:ascii="Arial" w:hAnsi="Arial" w:hint="cs"/>
          <w:color w:val="000000" w:themeColor="text1"/>
          <w:szCs w:val="36"/>
          <w:rtl/>
        </w:rPr>
        <w:t xml:space="preserve"> ו</w:t>
      </w:r>
      <w:r w:rsidR="001F5095" w:rsidRPr="003E4EB9">
        <w:rPr>
          <w:rFonts w:ascii="Arial" w:hAnsi="Arial" w:hint="cs"/>
          <w:color w:val="000000" w:themeColor="text1"/>
          <w:szCs w:val="36"/>
          <w:rtl/>
        </w:rPr>
        <w:t>תעשייה</w:t>
      </w:r>
    </w:p>
    <w:p w:rsidR="008834F8" w:rsidRPr="003E4EB9" w:rsidRDefault="008834F8">
      <w:pPr>
        <w:pStyle w:val="a6"/>
        <w:spacing w:line="240" w:lineRule="auto"/>
        <w:rPr>
          <w:rFonts w:ascii="Arial" w:hAnsi="Arial"/>
          <w:color w:val="000000" w:themeColor="text1"/>
          <w:szCs w:val="34"/>
          <w:rtl/>
        </w:rPr>
      </w:pPr>
    </w:p>
    <w:p w:rsidR="001C7C39" w:rsidRPr="003E4EB9" w:rsidRDefault="001C7C39" w:rsidP="00116EE2">
      <w:pPr>
        <w:pStyle w:val="a6"/>
        <w:spacing w:line="240" w:lineRule="auto"/>
        <w:outlineLvl w:val="2"/>
        <w:rPr>
          <w:rFonts w:ascii="Arial" w:hAnsi="Arial"/>
          <w:color w:val="000000" w:themeColor="text1"/>
          <w:spacing w:val="2"/>
          <w:szCs w:val="34"/>
          <w:rtl/>
        </w:rPr>
      </w:pPr>
      <w:r w:rsidRPr="003E4EB9">
        <w:rPr>
          <w:rFonts w:ascii="Arial" w:hAnsi="Arial"/>
          <w:color w:val="000000" w:themeColor="text1"/>
          <w:spacing w:val="2"/>
          <w:szCs w:val="34"/>
          <w:rtl/>
        </w:rPr>
        <w:t>מקורות והגדרות</w:t>
      </w:r>
    </w:p>
    <w:p w:rsidR="008C04A7" w:rsidRPr="003E4EB9" w:rsidRDefault="008C04A7" w:rsidP="003018E1">
      <w:pPr>
        <w:pStyle w:val="4"/>
        <w:rPr>
          <w:color w:val="000000" w:themeColor="text1"/>
          <w:rtl/>
        </w:rPr>
      </w:pPr>
      <w:r w:rsidRPr="003E4EB9">
        <w:rPr>
          <w:color w:val="000000" w:themeColor="text1"/>
          <w:rtl/>
        </w:rPr>
        <w:t>לוח</w:t>
      </w:r>
      <w:r w:rsidRPr="003E4EB9">
        <w:rPr>
          <w:rFonts w:hint="cs"/>
          <w:color w:val="000000" w:themeColor="text1"/>
          <w:rtl/>
        </w:rPr>
        <w:t>ות</w:t>
      </w:r>
      <w:r w:rsidRPr="003E4EB9">
        <w:rPr>
          <w:color w:val="000000" w:themeColor="text1"/>
          <w:rtl/>
        </w:rPr>
        <w:t xml:space="preserve"> </w:t>
      </w:r>
      <w:r w:rsidR="003018E1" w:rsidRPr="003E4EB9">
        <w:rPr>
          <w:rFonts w:hint="cs"/>
          <w:color w:val="000000" w:themeColor="text1"/>
          <w:rtl/>
        </w:rPr>
        <w:t>8</w:t>
      </w:r>
      <w:r w:rsidRPr="003E4EB9">
        <w:rPr>
          <w:rFonts w:hint="cs"/>
          <w:color w:val="000000" w:themeColor="text1"/>
          <w:rtl/>
        </w:rPr>
        <w:t>-1</w:t>
      </w:r>
      <w:r w:rsidRPr="003E4EB9">
        <w:rPr>
          <w:color w:val="000000" w:themeColor="text1"/>
          <w:rtl/>
        </w:rPr>
        <w:t xml:space="preserve">: הלמ"ס, </w:t>
      </w:r>
      <w:r w:rsidR="00591BA2" w:rsidRPr="003E4EB9">
        <w:rPr>
          <w:rFonts w:hint="cs"/>
          <w:color w:val="000000" w:themeColor="text1"/>
          <w:rtl/>
        </w:rPr>
        <w:t>מרשם עסקים</w:t>
      </w:r>
    </w:p>
    <w:p w:rsidR="008C04A7" w:rsidRPr="003E4EB9" w:rsidRDefault="008C04A7" w:rsidP="00B331CD">
      <w:pPr>
        <w:pStyle w:val="a0"/>
        <w:spacing w:line="120" w:lineRule="auto"/>
        <w:rPr>
          <w:b w:val="0"/>
          <w:bCs w:val="0"/>
          <w:color w:val="000000" w:themeColor="text1"/>
          <w:rtl/>
        </w:rPr>
      </w:pPr>
    </w:p>
    <w:p w:rsidR="00171E35" w:rsidRPr="003E4EB9" w:rsidRDefault="00171E35" w:rsidP="000C6C95">
      <w:pPr>
        <w:ind w:right="-196"/>
        <w:jc w:val="both"/>
        <w:rPr>
          <w:rFonts w:ascii="Arial" w:hAnsi="Arial" w:cs="David"/>
          <w:color w:val="000000" w:themeColor="text1"/>
          <w:sz w:val="24"/>
          <w:szCs w:val="24"/>
          <w:rtl/>
        </w:rPr>
      </w:pPr>
      <w:r w:rsidRPr="003E4EB9">
        <w:rPr>
          <w:rFonts w:ascii="Arial" w:hAnsi="Arial" w:cs="David" w:hint="cs"/>
          <w:color w:val="000000" w:themeColor="text1"/>
          <w:sz w:val="24"/>
          <w:szCs w:val="24"/>
          <w:rtl/>
        </w:rPr>
        <w:t>נתוני</w:t>
      </w:r>
      <w:r w:rsidR="003A449B" w:rsidRPr="003E4EB9">
        <w:rPr>
          <w:rFonts w:ascii="Arial" w:hAnsi="Arial" w:cs="David" w:hint="cs"/>
          <w:color w:val="000000" w:themeColor="text1"/>
          <w:sz w:val="24"/>
          <w:szCs w:val="24"/>
          <w:rtl/>
        </w:rPr>
        <w:t>ם על</w:t>
      </w:r>
      <w:r w:rsidRPr="003E4EB9">
        <w:rPr>
          <w:rFonts w:ascii="Arial" w:hAnsi="Arial" w:cs="David" w:hint="cs"/>
          <w:color w:val="000000" w:themeColor="text1"/>
          <w:sz w:val="24"/>
          <w:szCs w:val="24"/>
          <w:rtl/>
        </w:rPr>
        <w:t xml:space="preserve"> מספר עסקים ו</w:t>
      </w:r>
      <w:r w:rsidR="003A449B" w:rsidRPr="003E4EB9">
        <w:rPr>
          <w:rFonts w:ascii="Arial" w:hAnsi="Arial" w:cs="David" w:hint="cs"/>
          <w:color w:val="000000" w:themeColor="text1"/>
          <w:sz w:val="24"/>
          <w:szCs w:val="24"/>
          <w:rtl/>
        </w:rPr>
        <w:t xml:space="preserve">על </w:t>
      </w:r>
      <w:r w:rsidRPr="003E4EB9">
        <w:rPr>
          <w:rFonts w:ascii="Arial" w:hAnsi="Arial" w:cs="David" w:hint="cs"/>
          <w:color w:val="000000" w:themeColor="text1"/>
          <w:sz w:val="24"/>
          <w:szCs w:val="24"/>
          <w:rtl/>
        </w:rPr>
        <w:t xml:space="preserve">פתיחה וסגירה של עסקים מופקים מתוך מאגר המידע של מרשם העסקים שהוקם בלשכה המרכזית לסטטיסטיקה בשנת 2003. מרשם העסקים כולל בתוכו מידע מקובץ עוסקי מע"מ ומקובץ מעסיקים של המוסד לביטוח לאומי. </w:t>
      </w:r>
    </w:p>
    <w:p w:rsidR="00041B78" w:rsidRPr="003E4EB9" w:rsidRDefault="00041B78" w:rsidP="000C6C95">
      <w:pPr>
        <w:ind w:right="-196"/>
        <w:jc w:val="both"/>
        <w:rPr>
          <w:rFonts w:ascii="Arial" w:hAnsi="Arial" w:cs="David"/>
          <w:color w:val="000000" w:themeColor="text1"/>
          <w:sz w:val="24"/>
          <w:szCs w:val="24"/>
          <w:rtl/>
        </w:rPr>
      </w:pPr>
    </w:p>
    <w:tbl>
      <w:tblPr>
        <w:bidiVisual/>
        <w:tblW w:w="8730" w:type="dxa"/>
        <w:tblInd w:w="108" w:type="dxa"/>
        <w:tblLayout w:type="fixed"/>
        <w:tblCellMar>
          <w:top w:w="142" w:type="dxa"/>
        </w:tblCellMar>
        <w:tblLook w:val="01E0" w:firstRow="1" w:lastRow="1" w:firstColumn="1" w:lastColumn="1" w:noHBand="0" w:noVBand="0"/>
        <w:tblCaption w:val="לוחות 3-1: הלמ&quot;ס, מרשם עסקים"/>
      </w:tblPr>
      <w:tblGrid>
        <w:gridCol w:w="2209"/>
        <w:gridCol w:w="6521"/>
      </w:tblGrid>
      <w:tr w:rsidR="003E4EB9" w:rsidRPr="003E4EB9" w:rsidTr="00AE678D">
        <w:tc>
          <w:tcPr>
            <w:tcW w:w="2209" w:type="dxa"/>
          </w:tcPr>
          <w:p w:rsidR="00041B78" w:rsidRPr="003E4EB9" w:rsidRDefault="00041B78" w:rsidP="00AE678D">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מספר עסקים פעילים</w:t>
            </w:r>
          </w:p>
        </w:tc>
        <w:tc>
          <w:tcPr>
            <w:tcW w:w="6521" w:type="dxa"/>
            <w:shd w:val="clear" w:color="auto" w:fill="auto"/>
          </w:tcPr>
          <w:p w:rsidR="00041B78" w:rsidRPr="003E4EB9" w:rsidRDefault="00041B78" w:rsidP="00AE678D">
            <w:pPr>
              <w:pStyle w:val="af0"/>
              <w:numPr>
                <w:ilvl w:val="0"/>
                <w:numId w:val="12"/>
              </w:numPr>
              <w:ind w:left="142" w:hanging="142"/>
              <w:jc w:val="both"/>
              <w:rPr>
                <w:color w:val="000000" w:themeColor="text1"/>
                <w:sz w:val="24"/>
                <w:szCs w:val="24"/>
              </w:rPr>
            </w:pPr>
            <w:r w:rsidRPr="003E4EB9">
              <w:rPr>
                <w:rFonts w:hint="cs"/>
                <w:color w:val="000000" w:themeColor="text1"/>
                <w:szCs w:val="24"/>
                <w:rtl/>
              </w:rPr>
              <w:t>כולל את כל העסקים שנרשמה בהם פעילות של חודש אחד לפחות באותה שנה (נתוני העסקה ו/או נתוני מע"מ: פדיון או תשומות) וכולל עסקים שיש ברשותם נתוני העסקת שכירים לפחות חודש אחד באותה שנה, שאינם חייבים בדיווח לשלטונות מס ערך מוסף (כגון בנקים, חברות ביטוח, מלכ"רים ומוסדות מינהל ציבורי).</w:t>
            </w:r>
            <w:r w:rsidRPr="003E4EB9">
              <w:rPr>
                <w:rFonts w:hint="cs"/>
                <w:color w:val="000000" w:themeColor="text1"/>
                <w:sz w:val="24"/>
                <w:szCs w:val="24"/>
                <w:rtl/>
              </w:rPr>
              <w:t xml:space="preserve"> </w:t>
            </w:r>
          </w:p>
          <w:p w:rsidR="00041B78" w:rsidRPr="003E4EB9" w:rsidRDefault="00041B78" w:rsidP="00AE678D">
            <w:pPr>
              <w:pStyle w:val="af0"/>
              <w:spacing w:line="120" w:lineRule="exact"/>
              <w:ind w:left="142"/>
              <w:jc w:val="both"/>
              <w:rPr>
                <w:color w:val="000000" w:themeColor="text1"/>
                <w:sz w:val="24"/>
                <w:szCs w:val="24"/>
                <w:rtl/>
              </w:rPr>
            </w:pPr>
          </w:p>
        </w:tc>
      </w:tr>
      <w:tr w:rsidR="003E4EB9" w:rsidRPr="003E4EB9" w:rsidTr="00AE678D">
        <w:tc>
          <w:tcPr>
            <w:tcW w:w="2209" w:type="dxa"/>
          </w:tcPr>
          <w:p w:rsidR="00041B78" w:rsidRPr="003E4EB9" w:rsidRDefault="00041B78" w:rsidP="00AE678D">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 xml:space="preserve">סוג ישות </w:t>
            </w:r>
          </w:p>
        </w:tc>
        <w:tc>
          <w:tcPr>
            <w:tcW w:w="6521" w:type="dxa"/>
            <w:shd w:val="clear" w:color="auto" w:fill="auto"/>
          </w:tcPr>
          <w:p w:rsidR="00041B78" w:rsidRPr="003E4EB9" w:rsidRDefault="00041B78" w:rsidP="00041B78">
            <w:pPr>
              <w:pStyle w:val="af0"/>
              <w:numPr>
                <w:ilvl w:val="0"/>
                <w:numId w:val="12"/>
              </w:numPr>
              <w:ind w:left="142" w:hanging="142"/>
              <w:jc w:val="both"/>
              <w:rPr>
                <w:color w:val="000000" w:themeColor="text1"/>
                <w:sz w:val="24"/>
                <w:szCs w:val="24"/>
                <w:rtl/>
              </w:rPr>
            </w:pPr>
            <w:r w:rsidRPr="003E4EB9">
              <w:rPr>
                <w:rFonts w:hint="cs"/>
                <w:color w:val="000000" w:themeColor="text1"/>
                <w:szCs w:val="24"/>
                <w:rtl/>
              </w:rPr>
              <w:t>עסק נספר על פי הישות המייצגת אותו בהתחשבנות מול רשויות המס ולא עפ"י מספר מוקדי הפעילות אותם הוא מפעיל. אוכלוסיית העוסקים הפטורים ממע"מ (העוסקים הזעירים) מתקבלת אחת לשנה ממע"מ ומתועדת בנפרד. לפיכך היא מוצגת בנפרד מיתר העסקים ואינה נכללת בספירת סך העסקים.</w:t>
            </w:r>
          </w:p>
        </w:tc>
      </w:tr>
      <w:tr w:rsidR="003E4EB9" w:rsidRPr="003E4EB9" w:rsidTr="00041B78">
        <w:tc>
          <w:tcPr>
            <w:tcW w:w="2209" w:type="dxa"/>
          </w:tcPr>
          <w:p w:rsidR="00041B78" w:rsidRPr="003E4EB9" w:rsidRDefault="00041B78" w:rsidP="00AE678D">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פתיחה וסגירה של  עסקים במגזר העסקי</w:t>
            </w:r>
          </w:p>
        </w:tc>
        <w:tc>
          <w:tcPr>
            <w:tcW w:w="6521" w:type="dxa"/>
            <w:shd w:val="clear" w:color="auto" w:fill="auto"/>
          </w:tcPr>
          <w:p w:rsidR="00041B78" w:rsidRPr="003E4EB9" w:rsidRDefault="00041B78" w:rsidP="00041B78">
            <w:pPr>
              <w:pStyle w:val="af0"/>
              <w:numPr>
                <w:ilvl w:val="0"/>
                <w:numId w:val="12"/>
              </w:numPr>
              <w:ind w:left="142" w:hanging="142"/>
              <w:jc w:val="both"/>
              <w:rPr>
                <w:color w:val="000000" w:themeColor="text1"/>
                <w:sz w:val="24"/>
                <w:szCs w:val="24"/>
              </w:rPr>
            </w:pPr>
            <w:r w:rsidRPr="003E4EB9">
              <w:rPr>
                <w:rFonts w:hint="cs"/>
                <w:color w:val="000000" w:themeColor="text1"/>
                <w:sz w:val="24"/>
                <w:szCs w:val="24"/>
                <w:rtl/>
              </w:rPr>
              <w:t>בפתיחות עסקים כלולים עסקים שדווח על תחילת פעילות ברשויות המע"מ במהלך השנה, גם אם לא דיווחו על נתוני מע"מ (פדיון או תשומות). בכלל זה נמנו גם עסקים שנחשבו סגורים ודווח על חידוש פעילותם. בסגירות עסקים כלולים עסקים שדווח על סגירתם ברשויות המע"מ  במהלך השנה.</w:t>
            </w:r>
          </w:p>
          <w:p w:rsidR="00041B78" w:rsidRPr="003E4EB9" w:rsidRDefault="00041B78" w:rsidP="00041B78">
            <w:pPr>
              <w:pStyle w:val="af0"/>
              <w:ind w:left="142" w:hanging="142"/>
              <w:jc w:val="both"/>
              <w:rPr>
                <w:color w:val="000000" w:themeColor="text1"/>
                <w:szCs w:val="24"/>
                <w:rtl/>
              </w:rPr>
            </w:pPr>
          </w:p>
        </w:tc>
      </w:tr>
    </w:tbl>
    <w:p w:rsidR="00AE1E28" w:rsidRPr="003E4EB9" w:rsidRDefault="00041B78" w:rsidP="00AE1E28">
      <w:pPr>
        <w:ind w:right="-196"/>
        <w:jc w:val="both"/>
        <w:rPr>
          <w:rFonts w:ascii="Arial" w:hAnsi="Arial" w:cs="David"/>
          <w:color w:val="000000" w:themeColor="text1"/>
          <w:sz w:val="24"/>
          <w:szCs w:val="24"/>
          <w:rtl/>
        </w:rPr>
      </w:pPr>
      <w:r w:rsidRPr="003E4EB9">
        <w:rPr>
          <w:rFonts w:ascii="Arial" w:hAnsi="Arial" w:cs="David" w:hint="cs"/>
          <w:color w:val="000000" w:themeColor="text1"/>
          <w:sz w:val="24"/>
          <w:szCs w:val="24"/>
          <w:rtl/>
        </w:rPr>
        <w:t>ה</w:t>
      </w:r>
      <w:r w:rsidR="00AE1E28" w:rsidRPr="003E4EB9">
        <w:rPr>
          <w:rFonts w:ascii="Arial" w:hAnsi="Arial" w:cs="David" w:hint="cs"/>
          <w:color w:val="000000" w:themeColor="text1"/>
          <w:sz w:val="24"/>
          <w:szCs w:val="24"/>
          <w:rtl/>
        </w:rPr>
        <w:t xml:space="preserve">שינוי  במספר  העסקים הפעילים בין שנה מסוימת לשנה שקדמה לה אינו בהכרח תואם לפער בין פתיחות וסגירות העסקים באותה שנה. בעסקים שנפתחו יכולים להיכלל גם עסקים ללא נתוני העסקה או פדיון, שהם הקריטריונים להיחשב כעסק פעיל במרשם העסקים הארצי של הלשכה המרכזית לסטטיסטיקה. </w:t>
      </w:r>
    </w:p>
    <w:p w:rsidR="00784038" w:rsidRPr="003E4EB9" w:rsidRDefault="00784038" w:rsidP="00AE1E28">
      <w:pPr>
        <w:ind w:right="-196"/>
        <w:jc w:val="both"/>
        <w:rPr>
          <w:rFonts w:ascii="Arial" w:hAnsi="Arial" w:cs="David"/>
          <w:color w:val="000000" w:themeColor="text1"/>
          <w:sz w:val="24"/>
          <w:szCs w:val="24"/>
          <w:rtl/>
        </w:rPr>
      </w:pPr>
    </w:p>
    <w:p w:rsidR="00784038" w:rsidRPr="003E4EB9" w:rsidRDefault="00784038" w:rsidP="00784038">
      <w:pPr>
        <w:ind w:right="-196"/>
        <w:jc w:val="both"/>
        <w:rPr>
          <w:rFonts w:ascii="Arial" w:hAnsi="Arial" w:cs="David"/>
          <w:color w:val="000000" w:themeColor="text1"/>
          <w:sz w:val="24"/>
          <w:szCs w:val="24"/>
          <w:rtl/>
        </w:rPr>
      </w:pPr>
      <w:r w:rsidRPr="003E4EB9">
        <w:rPr>
          <w:rFonts w:ascii="Arial" w:hAnsi="Arial" w:cs="David" w:hint="cs"/>
          <w:color w:val="000000" w:themeColor="text1"/>
          <w:sz w:val="24"/>
          <w:szCs w:val="24"/>
          <w:rtl/>
        </w:rPr>
        <w:t>רשימת הסדרים והענפים הראשיים:</w:t>
      </w:r>
    </w:p>
    <w:tbl>
      <w:tblPr>
        <w:bidiVisual/>
        <w:tblW w:w="8730" w:type="dxa"/>
        <w:tblInd w:w="108" w:type="dxa"/>
        <w:tblLayout w:type="fixed"/>
        <w:tblCellMar>
          <w:top w:w="142" w:type="dxa"/>
        </w:tblCellMar>
        <w:tblLook w:val="01E0" w:firstRow="1" w:lastRow="1" w:firstColumn="1" w:lastColumn="1" w:noHBand="0" w:noVBand="0"/>
        <w:tblCaption w:val="לוחות 3-1: הלמ&quot;ס, מרשם עסקים"/>
      </w:tblPr>
      <w:tblGrid>
        <w:gridCol w:w="2209"/>
        <w:gridCol w:w="6521"/>
      </w:tblGrid>
      <w:tr w:rsidR="003E4EB9" w:rsidRPr="003E4EB9" w:rsidTr="00064C43">
        <w:tc>
          <w:tcPr>
            <w:tcW w:w="2209" w:type="dxa"/>
          </w:tcPr>
          <w:p w:rsidR="00116EE2" w:rsidRPr="003E4EB9" w:rsidRDefault="00116EE2" w:rsidP="00200C35">
            <w:pPr>
              <w:spacing w:before="80"/>
              <w:rPr>
                <w:rFonts w:ascii="Arial" w:hAnsi="Arial" w:cs="David"/>
                <w:b/>
                <w:bCs/>
                <w:color w:val="000000" w:themeColor="text1"/>
                <w:spacing w:val="4"/>
                <w:sz w:val="24"/>
                <w:szCs w:val="24"/>
                <w:rtl/>
              </w:rPr>
            </w:pPr>
          </w:p>
        </w:tc>
        <w:tc>
          <w:tcPr>
            <w:tcW w:w="6521" w:type="dxa"/>
            <w:shd w:val="clear" w:color="auto" w:fill="auto"/>
          </w:tcPr>
          <w:tbl>
            <w:tblPr>
              <w:tblStyle w:val="ac"/>
              <w:bidiVisual/>
              <w:tblW w:w="639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5"/>
              <w:gridCol w:w="1258"/>
              <w:gridCol w:w="993"/>
              <w:gridCol w:w="3489"/>
            </w:tblGrid>
            <w:tr w:rsidR="003E4EB9" w:rsidRPr="003E4EB9" w:rsidTr="00041B78">
              <w:trPr>
                <w:trHeight w:val="282"/>
              </w:trPr>
              <w:tc>
                <w:tcPr>
                  <w:tcW w:w="655" w:type="dxa"/>
                </w:tcPr>
                <w:p w:rsidR="00293F23" w:rsidRPr="003E4EB9" w:rsidRDefault="00293F23" w:rsidP="00293F23">
                  <w:pPr>
                    <w:pStyle w:val="af0"/>
                    <w:ind w:left="0"/>
                    <w:jc w:val="both"/>
                    <w:rPr>
                      <w:rFonts w:ascii="David" w:hAnsi="David"/>
                      <w:b/>
                      <w:bCs/>
                      <w:color w:val="000000" w:themeColor="text1"/>
                      <w:sz w:val="24"/>
                      <w:szCs w:val="24"/>
                      <w:rtl/>
                    </w:rPr>
                  </w:pPr>
                  <w:r w:rsidRPr="003E4EB9">
                    <w:rPr>
                      <w:rFonts w:ascii="David" w:hAnsi="David" w:hint="cs"/>
                      <w:b/>
                      <w:bCs/>
                      <w:color w:val="000000" w:themeColor="text1"/>
                      <w:sz w:val="24"/>
                      <w:szCs w:val="24"/>
                      <w:rtl/>
                    </w:rPr>
                    <w:t>סדר</w:t>
                  </w:r>
                </w:p>
              </w:tc>
              <w:tc>
                <w:tcPr>
                  <w:tcW w:w="1258" w:type="dxa"/>
                </w:tcPr>
                <w:p w:rsidR="00293F23" w:rsidRPr="003E4EB9" w:rsidRDefault="00293F23" w:rsidP="00293F23">
                  <w:pPr>
                    <w:pStyle w:val="af0"/>
                    <w:ind w:left="0"/>
                    <w:jc w:val="both"/>
                    <w:rPr>
                      <w:rFonts w:ascii="David" w:hAnsi="David"/>
                      <w:b/>
                      <w:bCs/>
                      <w:color w:val="000000" w:themeColor="text1"/>
                      <w:sz w:val="24"/>
                      <w:szCs w:val="24"/>
                      <w:rtl/>
                    </w:rPr>
                  </w:pPr>
                  <w:r w:rsidRPr="003E4EB9">
                    <w:rPr>
                      <w:rFonts w:ascii="David" w:hAnsi="David" w:hint="cs"/>
                      <w:b/>
                      <w:bCs/>
                      <w:color w:val="000000" w:themeColor="text1"/>
                      <w:sz w:val="24"/>
                      <w:szCs w:val="24"/>
                      <w:rtl/>
                    </w:rPr>
                    <w:t>שם סדר</w:t>
                  </w:r>
                </w:p>
              </w:tc>
              <w:tc>
                <w:tcPr>
                  <w:tcW w:w="993" w:type="dxa"/>
                </w:tcPr>
                <w:p w:rsidR="00293F23" w:rsidRPr="003E4EB9" w:rsidRDefault="00293F23" w:rsidP="00293F23">
                  <w:pPr>
                    <w:pStyle w:val="af0"/>
                    <w:ind w:left="0"/>
                    <w:jc w:val="both"/>
                    <w:rPr>
                      <w:rFonts w:ascii="David" w:hAnsi="David"/>
                      <w:b/>
                      <w:bCs/>
                      <w:color w:val="000000" w:themeColor="text1"/>
                      <w:sz w:val="24"/>
                      <w:szCs w:val="24"/>
                      <w:rtl/>
                    </w:rPr>
                  </w:pPr>
                  <w:r w:rsidRPr="003E4EB9">
                    <w:rPr>
                      <w:rFonts w:ascii="David" w:hAnsi="David" w:hint="cs"/>
                      <w:b/>
                      <w:bCs/>
                      <w:color w:val="000000" w:themeColor="text1"/>
                      <w:sz w:val="24"/>
                      <w:szCs w:val="24"/>
                      <w:rtl/>
                    </w:rPr>
                    <w:t>מספרי ענפים ראשיים</w:t>
                  </w:r>
                </w:p>
              </w:tc>
              <w:tc>
                <w:tcPr>
                  <w:tcW w:w="3489" w:type="dxa"/>
                </w:tcPr>
                <w:p w:rsidR="00293F23" w:rsidRPr="003E4EB9" w:rsidRDefault="00293F23" w:rsidP="00293F23">
                  <w:pPr>
                    <w:pStyle w:val="af0"/>
                    <w:ind w:left="0"/>
                    <w:jc w:val="both"/>
                    <w:rPr>
                      <w:rFonts w:ascii="David" w:hAnsi="David"/>
                      <w:b/>
                      <w:bCs/>
                      <w:color w:val="000000" w:themeColor="text1"/>
                      <w:sz w:val="24"/>
                      <w:szCs w:val="24"/>
                      <w:rtl/>
                    </w:rPr>
                  </w:pPr>
                  <w:r w:rsidRPr="003E4EB9">
                    <w:rPr>
                      <w:rFonts w:ascii="David" w:hAnsi="David" w:hint="cs"/>
                      <w:b/>
                      <w:bCs/>
                      <w:color w:val="000000" w:themeColor="text1"/>
                      <w:sz w:val="24"/>
                      <w:szCs w:val="24"/>
                      <w:rtl/>
                    </w:rPr>
                    <w:t>תיאור ענפים ראשיים</w:t>
                  </w:r>
                </w:p>
              </w:tc>
            </w:tr>
            <w:tr w:rsidR="003E4EB9" w:rsidRPr="003E4EB9" w:rsidTr="00041B78">
              <w:trPr>
                <w:trHeight w:val="282"/>
              </w:trPr>
              <w:tc>
                <w:tcPr>
                  <w:tcW w:w="655"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Pr>
                    <w:t>A</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חקלאות,</w:t>
                  </w:r>
                </w:p>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ייעור ודייג</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04-01</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גידולים צמחיים</w:t>
                  </w:r>
                  <w:r w:rsidRPr="003E4EB9">
                    <w:rPr>
                      <w:rFonts w:ascii="David" w:hAnsi="David"/>
                      <w:color w:val="000000" w:themeColor="text1"/>
                      <w:sz w:val="24"/>
                      <w:szCs w:val="24"/>
                    </w:rPr>
                    <w:t>;</w:t>
                  </w:r>
                  <w:r w:rsidRPr="003E4EB9">
                    <w:rPr>
                      <w:rFonts w:ascii="David" w:hAnsi="David" w:hint="cs"/>
                      <w:color w:val="000000" w:themeColor="text1"/>
                      <w:sz w:val="24"/>
                      <w:szCs w:val="24"/>
                      <w:rtl/>
                    </w:rPr>
                    <w:t xml:space="preserve"> ייעור וכריתת עצים; דיג וחקלאות ימית; גידול בעלי חיים, ציד ופעילויות נלוות</w:t>
                  </w:r>
                </w:p>
                <w:p w:rsidR="00293F23" w:rsidRPr="003E4EB9" w:rsidRDefault="00293F23" w:rsidP="00AD7835">
                  <w:pPr>
                    <w:pStyle w:val="af0"/>
                    <w:spacing w:line="120" w:lineRule="exact"/>
                    <w:ind w:left="0"/>
                    <w:jc w:val="both"/>
                    <w:rPr>
                      <w:rFonts w:ascii="David" w:hAnsi="David"/>
                      <w:color w:val="000000" w:themeColor="text1"/>
                      <w:sz w:val="24"/>
                      <w:szCs w:val="24"/>
                    </w:rPr>
                  </w:pPr>
                </w:p>
              </w:tc>
            </w:tr>
            <w:tr w:rsidR="003E4EB9" w:rsidRPr="003E4EB9" w:rsidTr="00041B78">
              <w:trPr>
                <w:trHeight w:val="282"/>
              </w:trPr>
              <w:tc>
                <w:tcPr>
                  <w:tcW w:w="655"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Pr>
                    <w:t>B</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 xml:space="preserve">כרייה </w:t>
                  </w:r>
                </w:p>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וחציבה</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09-05</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כריית פחם; הפקת נפט גולמי וגז טבעי; כריית עפרות מתכת; סוגים אחרים של כרייה וחציבה; פעילויות עזר לכרייה</w:t>
                  </w:r>
                </w:p>
                <w:p w:rsidR="00293F23" w:rsidRPr="003E4EB9" w:rsidRDefault="00293F23" w:rsidP="00AD7835">
                  <w:pPr>
                    <w:pStyle w:val="af0"/>
                    <w:spacing w:line="120" w:lineRule="exact"/>
                    <w:ind w:left="0"/>
                    <w:jc w:val="both"/>
                    <w:rPr>
                      <w:rFonts w:ascii="David" w:hAnsi="David"/>
                      <w:color w:val="000000" w:themeColor="text1"/>
                      <w:sz w:val="24"/>
                      <w:szCs w:val="24"/>
                      <w:rtl/>
                    </w:rPr>
                  </w:pPr>
                </w:p>
              </w:tc>
            </w:tr>
            <w:tr w:rsidR="003E4EB9" w:rsidRPr="003E4EB9" w:rsidTr="00041B78">
              <w:trPr>
                <w:trHeight w:val="292"/>
              </w:trPr>
              <w:tc>
                <w:tcPr>
                  <w:tcW w:w="655"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Pr>
                    <w:t>C</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תעשייה וחרושת</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34-10</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 xml:space="preserve">ייצור מוצרי מזון; ייצור משקאות; ייצור מוצרי טבק' ייצור טקסטיל; ייצור מוצרי הלבשה; ייצור ועיבוד של מוצרי עור ושל אביזרים נלווים; ייצור מוצרי עץ ומוצרי עץ ושעם, פרט לרהיטים; ייצור מוצרי קש ומוצרים מחומרי קליעה; ייצור נייר ומוצריו; </w:t>
                  </w:r>
                  <w:r w:rsidRPr="003E4EB9">
                    <w:rPr>
                      <w:rFonts w:ascii="David" w:hAnsi="David" w:hint="cs"/>
                      <w:color w:val="000000" w:themeColor="text1"/>
                      <w:sz w:val="24"/>
                      <w:szCs w:val="24"/>
                      <w:rtl/>
                    </w:rPr>
                    <w:lastRenderedPageBreak/>
                    <w:t>הדפסה ושכפול של חומר תקשורתי מוקלט; ייצור קוק ומוצרי נפט גולמי מזוקק; ייצור כימיקלים ומוצריהם; ייצור תרופות קונבנציונליות ותרופות הומאופתיות; ייצור מוצרי גומי ופלסטיק; ייצור מוצרים אחרים על בסיס מינרלים אל-מתכתיים; תעשיית מתכות בסיסיות; ייצור מוצרי מתכת בהרכבה, פרט למכונות ולציוד; ייצור מחשבים, מכשור אלקטרוני ואופטי; ייצור ציוד חשמלי; ייצור מכונות וציוד לנמ"א; ייצור כלי רכב מנועיים ונגררים; ייצור כלי תחבורה והובלה אחרים; ייצור רהיטים; ענפי ייצור אחרים; תיקון, תחזוקה והתקנה של מכונות ציוד; עיבוד יהלומים</w:t>
                  </w:r>
                </w:p>
                <w:p w:rsidR="00293F23" w:rsidRPr="003E4EB9" w:rsidRDefault="00293F23" w:rsidP="00293F23">
                  <w:pPr>
                    <w:pStyle w:val="af0"/>
                    <w:spacing w:line="120" w:lineRule="exact"/>
                    <w:ind w:left="0"/>
                    <w:jc w:val="both"/>
                    <w:rPr>
                      <w:rFonts w:ascii="David" w:hAnsi="David"/>
                      <w:color w:val="000000" w:themeColor="text1"/>
                      <w:sz w:val="24"/>
                      <w:szCs w:val="24"/>
                      <w:rtl/>
                    </w:rPr>
                  </w:pP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Pr>
                    <w:lastRenderedPageBreak/>
                    <w:t>D</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אספקת חשמל, גז, קיטור ומיזוג אוויר</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35</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אספקת חשמל, גז, קיטור ומיזוג אוויר (קירור)</w:t>
                  </w: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Pr>
                    <w:t>E</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אספקת מים; שירותי ביוב, טיפול באשפה ובפסולת ושירותי טיהור</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39-36</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אגירת מים, טיפול ואספקה; שירותי ביוב; איסוף, טיפול וסילוק של אשפה ופסולת; מחזור (והשבה) של חומרים; שירותי טיהור ושירותים אחרים לטיפול בפסולת</w:t>
                  </w: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F</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בינוי</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43-41</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בניית מבנים ובניינים; עבודות הנדסה אזרחית; עבודות בנייה מיוחדות</w:t>
                  </w:r>
                </w:p>
                <w:p w:rsidR="00293F23" w:rsidRPr="003E4EB9" w:rsidRDefault="00293F23" w:rsidP="00293F23">
                  <w:pPr>
                    <w:pStyle w:val="af0"/>
                    <w:spacing w:line="120" w:lineRule="exact"/>
                    <w:ind w:left="0"/>
                    <w:jc w:val="both"/>
                    <w:rPr>
                      <w:rFonts w:ascii="David" w:hAnsi="David"/>
                      <w:color w:val="000000" w:themeColor="text1"/>
                      <w:sz w:val="24"/>
                      <w:szCs w:val="24"/>
                      <w:rtl/>
                    </w:rPr>
                  </w:pP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G</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מסחר סיטוני וקמעוני; תיקון כלי רכב מנועיים ואופנועים</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47-45</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מסחר סיטוני וקמעוני בכלי רכב מנועיים ובאופנועים ותיקונם; מסחר סיטוני, פרט לכלי רכב מנועיים ולאופנועים; מכירה קמעונית, פרט לכלי רכב מנועיים ולאופנועים</w:t>
                  </w: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H</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שירותי תחבורה, אחסנה, דואר ובלדרות</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53-49</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הובלה יבשתית והובלה באמצעות קווי צינורות; הובלה ימית; הובלה אווירית; אחסנה ושירותי עזר לתחבורה; שירותי דואר ובלדרות</w:t>
                  </w: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I</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שירותי אירוח ואוכל</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56-55</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שירותי אירוח; שירותי מזון ומשקאות</w:t>
                  </w: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J</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מידע ותקשורת</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63-58</w:t>
                  </w:r>
                </w:p>
              </w:tc>
              <w:tc>
                <w:tcPr>
                  <w:tcW w:w="3489" w:type="dxa"/>
                </w:tcPr>
                <w:p w:rsidR="00293F23" w:rsidRPr="003E4EB9" w:rsidRDefault="00293F23" w:rsidP="00293F23">
                  <w:pPr>
                    <w:pStyle w:val="af0"/>
                    <w:ind w:left="0"/>
                    <w:jc w:val="both"/>
                    <w:rPr>
                      <w:rFonts w:ascii="David" w:hAnsi="David"/>
                      <w:color w:val="000000" w:themeColor="text1"/>
                      <w:spacing w:val="-4"/>
                      <w:sz w:val="24"/>
                      <w:szCs w:val="24"/>
                      <w:rtl/>
                    </w:rPr>
                  </w:pPr>
                  <w:r w:rsidRPr="003E4EB9">
                    <w:rPr>
                      <w:rFonts w:ascii="David" w:hAnsi="David" w:hint="cs"/>
                      <w:color w:val="000000" w:themeColor="text1"/>
                      <w:spacing w:val="-4"/>
                      <w:sz w:val="24"/>
                      <w:szCs w:val="24"/>
                      <w:rtl/>
                    </w:rPr>
                    <w:t>הוצאה לאור; הפקה, פוסט-פרודקשן והפצה של סרטי קולנוע, סרטי וידאו, תכניות טלוויזיה, הקלטה והוצאה לאור של קול ומוזיקה; שידור תוכניות רדיו וטלוויזיה; שירותי תקשורת; תכנות מחשבים, ייעוץ בתחום המחשבים ושירותים נלווים אחרים; שירותי מידע</w:t>
                  </w:r>
                </w:p>
                <w:p w:rsidR="00293F23" w:rsidRPr="003E4EB9" w:rsidRDefault="00293F23" w:rsidP="00293F23">
                  <w:pPr>
                    <w:pStyle w:val="af0"/>
                    <w:spacing w:line="120" w:lineRule="exact"/>
                    <w:ind w:left="0"/>
                    <w:jc w:val="both"/>
                    <w:rPr>
                      <w:rFonts w:ascii="David" w:hAnsi="David"/>
                      <w:color w:val="000000" w:themeColor="text1"/>
                      <w:sz w:val="24"/>
                      <w:szCs w:val="24"/>
                      <w:rtl/>
                    </w:rPr>
                  </w:pP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K</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 xml:space="preserve">שירותים פיננסיים </w:t>
                  </w:r>
                  <w:r w:rsidRPr="003E4EB9">
                    <w:rPr>
                      <w:rFonts w:ascii="David" w:hAnsi="David" w:hint="cs"/>
                      <w:color w:val="000000" w:themeColor="text1"/>
                      <w:sz w:val="24"/>
                      <w:szCs w:val="24"/>
                      <w:rtl/>
                    </w:rPr>
                    <w:lastRenderedPageBreak/>
                    <w:t>ושירותי ביטוח</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lastRenderedPageBreak/>
                    <w:t>66-64</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 xml:space="preserve">שירותים פיננסיים, פרט לביטוח ולקרנות פנסיה; ביטוח, ביטוח משנה </w:t>
                  </w:r>
                  <w:r w:rsidRPr="003E4EB9">
                    <w:rPr>
                      <w:rFonts w:ascii="David" w:hAnsi="David" w:hint="cs"/>
                      <w:color w:val="000000" w:themeColor="text1"/>
                      <w:sz w:val="24"/>
                      <w:szCs w:val="24"/>
                      <w:rtl/>
                    </w:rPr>
                    <w:lastRenderedPageBreak/>
                    <w:t>וקרנות פנסיה, פרט לביטוח לאומי חובה; פעילויות עזר הנלוות לשירותים פיננסיים ולשירותי ביטוח</w:t>
                  </w:r>
                </w:p>
                <w:p w:rsidR="00603018" w:rsidRPr="003E4EB9" w:rsidRDefault="00603018" w:rsidP="00784038">
                  <w:pPr>
                    <w:pStyle w:val="af0"/>
                    <w:spacing w:line="80" w:lineRule="exact"/>
                    <w:ind w:left="0"/>
                    <w:jc w:val="both"/>
                    <w:rPr>
                      <w:rFonts w:ascii="David" w:hAnsi="David"/>
                      <w:color w:val="000000" w:themeColor="text1"/>
                      <w:sz w:val="24"/>
                      <w:szCs w:val="24"/>
                      <w:rtl/>
                    </w:rPr>
                  </w:pPr>
                </w:p>
                <w:p w:rsidR="00AD7835" w:rsidRPr="003E4EB9" w:rsidRDefault="00AD7835" w:rsidP="00AD7835">
                  <w:pPr>
                    <w:pStyle w:val="af0"/>
                    <w:spacing w:line="120" w:lineRule="exact"/>
                    <w:ind w:left="0"/>
                    <w:jc w:val="both"/>
                    <w:rPr>
                      <w:rFonts w:ascii="David" w:hAnsi="David"/>
                      <w:color w:val="000000" w:themeColor="text1"/>
                      <w:sz w:val="24"/>
                      <w:szCs w:val="24"/>
                      <w:rtl/>
                    </w:rPr>
                  </w:pP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lastRenderedPageBreak/>
                    <w:t>L</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פעילויות בנדל"ן</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68</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פעילויות בנדל"ן</w:t>
                  </w: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M</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שירותים מקצועיים,</w:t>
                  </w:r>
                </w:p>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מדעיים וטכניים</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75-69</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שירותים משפטיים ושירותי חשבונאות; שירותי משרדים ראשיים; שירותי ייעוץ ניהולי; שירותי אדריכלות והנדסה; בדיקות טכניות וניתוח נתונים טכניים; מחקר מדעי ופיתוח; פרסום וחקר שווקים; סוגים אחרים של שירותים מקצועיים, מדעיים וטכניים; שירותים וטרינריים</w:t>
                  </w:r>
                </w:p>
                <w:p w:rsidR="00293F23" w:rsidRPr="003E4EB9" w:rsidRDefault="00293F23" w:rsidP="00784038">
                  <w:pPr>
                    <w:pStyle w:val="af0"/>
                    <w:spacing w:line="-80" w:lineRule="auto"/>
                    <w:ind w:left="0"/>
                    <w:jc w:val="both"/>
                    <w:rPr>
                      <w:rFonts w:ascii="David" w:hAnsi="David"/>
                      <w:color w:val="000000" w:themeColor="text1"/>
                      <w:sz w:val="24"/>
                      <w:szCs w:val="24"/>
                      <w:rtl/>
                    </w:rPr>
                  </w:pP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N</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שירותי ניהול ותמיכה</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82-77</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שירותי השכרה והחכרה; שירותי תעסוקה; פעילויות של סוכנויות נסיעות, מארגני טיולים, הזמנות ושירותים נלווים; שירותי שמירה, אבטחה וחקירה; שירותי תחזוקה לבניינים ועבודות גינון; שירותי ניהול ותמיכה למשרדים ולעסקים</w:t>
                  </w:r>
                </w:p>
                <w:p w:rsidR="00293F23" w:rsidRPr="003E4EB9" w:rsidRDefault="00293F23" w:rsidP="00784038">
                  <w:pPr>
                    <w:pStyle w:val="af0"/>
                    <w:spacing w:line="-80" w:lineRule="auto"/>
                    <w:ind w:left="0"/>
                    <w:jc w:val="both"/>
                    <w:rPr>
                      <w:rFonts w:ascii="David" w:hAnsi="David"/>
                      <w:color w:val="000000" w:themeColor="text1"/>
                      <w:sz w:val="24"/>
                      <w:szCs w:val="24"/>
                      <w:rtl/>
                    </w:rPr>
                  </w:pP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O</w:t>
                  </w:r>
                </w:p>
              </w:tc>
              <w:tc>
                <w:tcPr>
                  <w:tcW w:w="1258" w:type="dxa"/>
                </w:tcPr>
                <w:p w:rsidR="00293F23" w:rsidRPr="003E4EB9" w:rsidRDefault="00293F23" w:rsidP="00293F23">
                  <w:pPr>
                    <w:pStyle w:val="af0"/>
                    <w:ind w:left="0"/>
                    <w:rPr>
                      <w:rFonts w:ascii="David" w:hAnsi="David"/>
                      <w:color w:val="000000" w:themeColor="text1"/>
                      <w:spacing w:val="-2"/>
                      <w:sz w:val="24"/>
                      <w:szCs w:val="24"/>
                      <w:rtl/>
                    </w:rPr>
                  </w:pPr>
                  <w:r w:rsidRPr="003E4EB9">
                    <w:rPr>
                      <w:rFonts w:ascii="David" w:hAnsi="David" w:hint="cs"/>
                      <w:color w:val="000000" w:themeColor="text1"/>
                      <w:spacing w:val="-2"/>
                      <w:sz w:val="24"/>
                      <w:szCs w:val="24"/>
                      <w:rtl/>
                    </w:rPr>
                    <w:t>מינהל מקומי, מינהל ציבורי וביטחון; ביטוח לאומי חובה</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84-83</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מינהל מקומי; מינהל ציבורי וביטחון; ביטוח לאומי חובה</w:t>
                  </w: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P</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חינוך</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85</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חינוך</w:t>
                  </w:r>
                </w:p>
                <w:p w:rsidR="00293F23" w:rsidRPr="003E4EB9" w:rsidRDefault="00293F23" w:rsidP="00293F23">
                  <w:pPr>
                    <w:pStyle w:val="af0"/>
                    <w:ind w:left="0"/>
                    <w:jc w:val="both"/>
                    <w:rPr>
                      <w:rFonts w:ascii="David" w:hAnsi="David"/>
                      <w:color w:val="000000" w:themeColor="text1"/>
                      <w:sz w:val="24"/>
                      <w:szCs w:val="24"/>
                      <w:rtl/>
                    </w:rPr>
                  </w:pP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color w:val="000000" w:themeColor="text1"/>
                      <w:sz w:val="24"/>
                      <w:szCs w:val="24"/>
                    </w:rPr>
                    <w:t>Q</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שירותי בריאות ושירותי רווחה וסעד</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88-86</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שירותי בריאות; מגורים טיפוליים; שירותי רווחה וסעד ללא מגורים</w:t>
                  </w: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color w:val="000000" w:themeColor="text1"/>
                      <w:sz w:val="24"/>
                      <w:szCs w:val="24"/>
                    </w:rPr>
                    <w:t>R</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אמנות, בידור ופנאי</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93-90</w:t>
                  </w:r>
                </w:p>
              </w:tc>
              <w:tc>
                <w:tcPr>
                  <w:tcW w:w="3489" w:type="dxa"/>
                </w:tcPr>
                <w:p w:rsidR="00293F23" w:rsidRPr="003E4EB9" w:rsidRDefault="00293F23" w:rsidP="00293F23">
                  <w:pPr>
                    <w:pStyle w:val="af0"/>
                    <w:ind w:left="0"/>
                    <w:jc w:val="both"/>
                    <w:rPr>
                      <w:rFonts w:ascii="David" w:hAnsi="David"/>
                      <w:color w:val="000000" w:themeColor="text1"/>
                      <w:spacing w:val="-4"/>
                      <w:sz w:val="24"/>
                      <w:szCs w:val="24"/>
                      <w:rtl/>
                    </w:rPr>
                  </w:pPr>
                  <w:r w:rsidRPr="003E4EB9">
                    <w:rPr>
                      <w:rFonts w:ascii="David" w:hAnsi="David" w:hint="cs"/>
                      <w:color w:val="000000" w:themeColor="text1"/>
                      <w:spacing w:val="-4"/>
                      <w:sz w:val="24"/>
                      <w:szCs w:val="24"/>
                      <w:rtl/>
                    </w:rPr>
                    <w:t>יצירה, אמנות ובידור; הפעלת ספריות, ארכיונים, מוזאונים ופעילויות תרבות אחרות; פעילויות הימורים והתערבויות; פעילויות ספורט, בילוי ופנאי</w:t>
                  </w:r>
                </w:p>
                <w:p w:rsidR="00293F23" w:rsidRPr="003E4EB9" w:rsidRDefault="00293F23" w:rsidP="00784038">
                  <w:pPr>
                    <w:pStyle w:val="af0"/>
                    <w:spacing w:line="-80" w:lineRule="auto"/>
                    <w:ind w:left="0"/>
                    <w:jc w:val="both"/>
                    <w:rPr>
                      <w:rFonts w:ascii="David" w:hAnsi="David"/>
                      <w:color w:val="000000" w:themeColor="text1"/>
                      <w:spacing w:val="-4"/>
                      <w:sz w:val="24"/>
                      <w:szCs w:val="24"/>
                      <w:rtl/>
                    </w:rPr>
                  </w:pP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S</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שירותים אחרים</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96-94</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פעילויות של ארגוני חברים; תיקון של מחשבים, ציוד אישי וציוד לבית; שירותים אישיים אחרים</w:t>
                  </w:r>
                </w:p>
                <w:p w:rsidR="00293F23" w:rsidRPr="003E4EB9" w:rsidRDefault="00293F23" w:rsidP="00784038">
                  <w:pPr>
                    <w:pStyle w:val="af0"/>
                    <w:spacing w:line="-80" w:lineRule="auto"/>
                    <w:ind w:left="0"/>
                    <w:jc w:val="both"/>
                    <w:rPr>
                      <w:rFonts w:ascii="David" w:hAnsi="David"/>
                      <w:color w:val="000000" w:themeColor="text1"/>
                      <w:sz w:val="24"/>
                      <w:szCs w:val="24"/>
                      <w:rtl/>
                    </w:rPr>
                  </w:pP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T</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משקי בית כמקומות תעסוקה; משקי בית המייצרים מגוון טובין ושירותים לשימוש עצמי</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98-97</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משקי בית כמקומות תעסוקה (לעובדי משק בית); משקי בית המייצרים מגוון טובין ושירותים לשימוש עצמי</w:t>
                  </w:r>
                </w:p>
              </w:tc>
            </w:tr>
            <w:tr w:rsidR="003E4EB9" w:rsidRPr="003E4EB9" w:rsidTr="00041B78">
              <w:trPr>
                <w:trHeight w:val="51"/>
              </w:trPr>
              <w:tc>
                <w:tcPr>
                  <w:tcW w:w="655" w:type="dxa"/>
                </w:tcPr>
                <w:p w:rsidR="00293F23" w:rsidRPr="003E4EB9" w:rsidRDefault="00293F23" w:rsidP="00293F23">
                  <w:pPr>
                    <w:pStyle w:val="af0"/>
                    <w:ind w:left="0"/>
                    <w:jc w:val="both"/>
                    <w:rPr>
                      <w:rFonts w:ascii="David" w:hAnsi="David"/>
                      <w:color w:val="000000" w:themeColor="text1"/>
                      <w:sz w:val="24"/>
                      <w:szCs w:val="24"/>
                    </w:rPr>
                  </w:pPr>
                  <w:r w:rsidRPr="003E4EB9">
                    <w:rPr>
                      <w:rFonts w:ascii="David" w:hAnsi="David" w:hint="cs"/>
                      <w:color w:val="000000" w:themeColor="text1"/>
                      <w:sz w:val="24"/>
                      <w:szCs w:val="24"/>
                    </w:rPr>
                    <w:t>U</w:t>
                  </w:r>
                </w:p>
              </w:tc>
              <w:tc>
                <w:tcPr>
                  <w:tcW w:w="1258" w:type="dxa"/>
                </w:tcPr>
                <w:p w:rsidR="00293F23" w:rsidRPr="003E4EB9" w:rsidRDefault="00293F23" w:rsidP="00293F23">
                  <w:pPr>
                    <w:pStyle w:val="af0"/>
                    <w:ind w:left="0"/>
                    <w:rPr>
                      <w:rFonts w:ascii="David" w:hAnsi="David"/>
                      <w:color w:val="000000" w:themeColor="text1"/>
                      <w:sz w:val="24"/>
                      <w:szCs w:val="24"/>
                      <w:rtl/>
                    </w:rPr>
                  </w:pPr>
                  <w:r w:rsidRPr="003E4EB9">
                    <w:rPr>
                      <w:rFonts w:ascii="David" w:hAnsi="David" w:hint="cs"/>
                      <w:color w:val="000000" w:themeColor="text1"/>
                      <w:sz w:val="24"/>
                      <w:szCs w:val="24"/>
                      <w:rtl/>
                    </w:rPr>
                    <w:t>ארגונים וגופים חוץ-מדינתיים</w:t>
                  </w:r>
                </w:p>
              </w:tc>
              <w:tc>
                <w:tcPr>
                  <w:tcW w:w="993"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99</w:t>
                  </w:r>
                </w:p>
              </w:tc>
              <w:tc>
                <w:tcPr>
                  <w:tcW w:w="3489" w:type="dxa"/>
                </w:tcPr>
                <w:p w:rsidR="00293F23" w:rsidRPr="003E4EB9" w:rsidRDefault="00293F23" w:rsidP="00293F2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ארגונים וגופים חוץ-מדינתיים</w:t>
                  </w:r>
                </w:p>
              </w:tc>
            </w:tr>
          </w:tbl>
          <w:p w:rsidR="00293F23" w:rsidRPr="003E4EB9" w:rsidRDefault="00293F23" w:rsidP="00293F23">
            <w:pPr>
              <w:jc w:val="both"/>
              <w:rPr>
                <w:color w:val="000000" w:themeColor="text1"/>
                <w:sz w:val="24"/>
                <w:szCs w:val="24"/>
                <w:rtl/>
              </w:rPr>
            </w:pPr>
          </w:p>
        </w:tc>
      </w:tr>
      <w:tr w:rsidR="003E4EB9" w:rsidRPr="003E4EB9" w:rsidTr="00064C43">
        <w:tc>
          <w:tcPr>
            <w:tcW w:w="2209" w:type="dxa"/>
            <w:shd w:val="clear" w:color="auto" w:fill="auto"/>
          </w:tcPr>
          <w:p w:rsidR="00064C43" w:rsidRPr="003E4EB9" w:rsidRDefault="00064C43" w:rsidP="00622ACE">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lastRenderedPageBreak/>
              <w:t>תחום ההיי-טק</w:t>
            </w:r>
          </w:p>
        </w:tc>
        <w:tc>
          <w:tcPr>
            <w:tcW w:w="6521" w:type="dxa"/>
            <w:shd w:val="clear" w:color="auto" w:fill="auto"/>
          </w:tcPr>
          <w:p w:rsidR="00064C43" w:rsidRPr="003E4EB9" w:rsidRDefault="00064C43" w:rsidP="00064C43">
            <w:pPr>
              <w:pStyle w:val="af0"/>
              <w:spacing w:after="160" w:line="259" w:lineRule="auto"/>
              <w:ind w:left="61"/>
              <w:rPr>
                <w:rFonts w:ascii="David" w:hAnsi="David"/>
                <w:color w:val="000000" w:themeColor="text1"/>
                <w:spacing w:val="-4"/>
                <w:sz w:val="24"/>
                <w:szCs w:val="24"/>
                <w:rtl/>
              </w:rPr>
            </w:pPr>
            <w:r w:rsidRPr="003E4EB9">
              <w:rPr>
                <w:rFonts w:ascii="David" w:hAnsi="David"/>
                <w:color w:val="000000" w:themeColor="text1"/>
                <w:spacing w:val="-4"/>
                <w:sz w:val="24"/>
                <w:szCs w:val="24"/>
                <w:rtl/>
              </w:rPr>
              <w:t xml:space="preserve">הגדרת תחום ההיי-טק מבוססת על </w:t>
            </w:r>
            <w:r w:rsidRPr="003E4EB9">
              <w:rPr>
                <w:rFonts w:ascii="David" w:hAnsi="David" w:hint="cs"/>
                <w:color w:val="000000" w:themeColor="text1"/>
                <w:spacing w:val="-4"/>
                <w:sz w:val="24"/>
                <w:szCs w:val="24"/>
                <w:rtl/>
              </w:rPr>
              <w:t xml:space="preserve">הסיווג האחיד של  </w:t>
            </w:r>
            <w:r w:rsidRPr="003E4EB9">
              <w:rPr>
                <w:rFonts w:ascii="David" w:hAnsi="David"/>
                <w:color w:val="000000" w:themeColor="text1"/>
                <w:spacing w:val="-4"/>
                <w:sz w:val="24"/>
                <w:szCs w:val="24"/>
                <w:rtl/>
              </w:rPr>
              <w:t>ענפי הכלכלה 2011 ועל הגדרות ה-</w:t>
            </w:r>
            <w:r w:rsidRPr="003E4EB9">
              <w:rPr>
                <w:rFonts w:ascii="David" w:hAnsi="David"/>
                <w:color w:val="000000" w:themeColor="text1"/>
                <w:spacing w:val="-4"/>
                <w:sz w:val="18"/>
                <w:szCs w:val="18"/>
              </w:rPr>
              <w:t>OECD</w:t>
            </w:r>
            <w:r w:rsidRPr="003E4EB9">
              <w:rPr>
                <w:rFonts w:ascii="David" w:hAnsi="David"/>
                <w:color w:val="000000" w:themeColor="text1"/>
                <w:spacing w:val="-4"/>
                <w:sz w:val="24"/>
                <w:szCs w:val="24"/>
                <w:rtl/>
              </w:rPr>
              <w:t xml:space="preserve"> וה-</w:t>
            </w:r>
            <w:r w:rsidRPr="003E4EB9">
              <w:rPr>
                <w:rFonts w:ascii="David" w:hAnsi="David"/>
                <w:color w:val="000000" w:themeColor="text1"/>
                <w:spacing w:val="-4"/>
                <w:sz w:val="18"/>
                <w:szCs w:val="18"/>
              </w:rPr>
              <w:t>EUROSTAT</w:t>
            </w:r>
            <w:r w:rsidRPr="003E4EB9">
              <w:rPr>
                <w:rFonts w:ascii="David" w:hAnsi="David" w:hint="cs"/>
                <w:color w:val="000000" w:themeColor="text1"/>
                <w:spacing w:val="-4"/>
                <w:sz w:val="24"/>
                <w:szCs w:val="24"/>
                <w:rtl/>
              </w:rPr>
              <w:t xml:space="preserve">. בתחום ההיי-טק נכללים </w:t>
            </w:r>
            <w:r w:rsidRPr="003E4EB9">
              <w:rPr>
                <w:rFonts w:ascii="David" w:hAnsi="David" w:hint="cs"/>
                <w:b/>
                <w:bCs/>
                <w:color w:val="000000" w:themeColor="text1"/>
                <w:spacing w:val="-4"/>
                <w:sz w:val="24"/>
                <w:szCs w:val="24"/>
                <w:rtl/>
              </w:rPr>
              <w:t>ענפי תעשייה</w:t>
            </w:r>
            <w:r w:rsidRPr="003E4EB9">
              <w:rPr>
                <w:rFonts w:ascii="David" w:hAnsi="David" w:hint="cs"/>
                <w:color w:val="000000" w:themeColor="text1"/>
                <w:spacing w:val="-4"/>
                <w:sz w:val="24"/>
                <w:szCs w:val="24"/>
                <w:rtl/>
              </w:rPr>
              <w:t xml:space="preserve"> (תעשיות טכנולוגיה עילית) </w:t>
            </w:r>
            <w:r w:rsidRPr="003E4EB9">
              <w:rPr>
                <w:rFonts w:ascii="David" w:hAnsi="David" w:hint="cs"/>
                <w:b/>
                <w:bCs/>
                <w:color w:val="000000" w:themeColor="text1"/>
                <w:spacing w:val="-4"/>
                <w:sz w:val="24"/>
                <w:szCs w:val="24"/>
                <w:rtl/>
              </w:rPr>
              <w:t>וענפי שירותים</w:t>
            </w:r>
            <w:r w:rsidRPr="003E4EB9">
              <w:rPr>
                <w:rFonts w:ascii="David" w:hAnsi="David" w:hint="cs"/>
                <w:color w:val="000000" w:themeColor="text1"/>
                <w:spacing w:val="-4"/>
                <w:sz w:val="24"/>
                <w:szCs w:val="24"/>
                <w:rtl/>
              </w:rPr>
              <w:t xml:space="preserve"> (שירותים עתירי ידע). והוא כולל את ענפי הכלכלה הבאים: </w:t>
            </w:r>
          </w:p>
          <w:tbl>
            <w:tblPr>
              <w:tblStyle w:val="ac"/>
              <w:bidiVisual/>
              <w:tblW w:w="639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913"/>
              <w:gridCol w:w="993"/>
              <w:gridCol w:w="3489"/>
            </w:tblGrid>
            <w:tr w:rsidR="003E4EB9" w:rsidRPr="003E4EB9" w:rsidTr="00A733FA">
              <w:trPr>
                <w:trHeight w:val="51"/>
              </w:trPr>
              <w:tc>
                <w:tcPr>
                  <w:tcW w:w="1913" w:type="dxa"/>
                  <w:vMerge w:val="restart"/>
                </w:tcPr>
                <w:p w:rsidR="00064C43" w:rsidRPr="003E4EB9" w:rsidRDefault="00064C43" w:rsidP="00064C43">
                  <w:pPr>
                    <w:pStyle w:val="af0"/>
                    <w:ind w:left="0"/>
                    <w:rPr>
                      <w:rFonts w:ascii="David" w:hAnsi="David"/>
                      <w:color w:val="000000" w:themeColor="text1"/>
                      <w:sz w:val="24"/>
                      <w:szCs w:val="24"/>
                      <w:rtl/>
                    </w:rPr>
                  </w:pPr>
                  <w:r w:rsidRPr="003E4EB9">
                    <w:rPr>
                      <w:rFonts w:ascii="David" w:hAnsi="David" w:hint="cs"/>
                      <w:b/>
                      <w:bCs/>
                      <w:color w:val="000000" w:themeColor="text1"/>
                      <w:sz w:val="24"/>
                      <w:szCs w:val="24"/>
                      <w:rtl/>
                    </w:rPr>
                    <w:t>ענפי תעשייה</w:t>
                  </w:r>
                  <w:r w:rsidRPr="003E4EB9">
                    <w:rPr>
                      <w:rFonts w:ascii="David" w:hAnsi="David" w:hint="cs"/>
                      <w:color w:val="000000" w:themeColor="text1"/>
                      <w:sz w:val="24"/>
                      <w:szCs w:val="24"/>
                      <w:rtl/>
                    </w:rPr>
                    <w:t xml:space="preserve"> (תעשיות טכנולוגיה עילית)</w:t>
                  </w:r>
                </w:p>
              </w:tc>
              <w:tc>
                <w:tcPr>
                  <w:tcW w:w="993"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21</w:t>
                  </w:r>
                </w:p>
              </w:tc>
              <w:tc>
                <w:tcPr>
                  <w:tcW w:w="3489"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color w:val="000000" w:themeColor="text1"/>
                      <w:spacing w:val="-4"/>
                      <w:sz w:val="24"/>
                      <w:szCs w:val="24"/>
                      <w:rtl/>
                    </w:rPr>
                    <w:t>ייצור תרופות קונבנציונאליות ותרופות הומאופתיות</w:t>
                  </w:r>
                </w:p>
              </w:tc>
            </w:tr>
            <w:tr w:rsidR="003E4EB9" w:rsidRPr="003E4EB9" w:rsidTr="00A733FA">
              <w:trPr>
                <w:trHeight w:val="51"/>
              </w:trPr>
              <w:tc>
                <w:tcPr>
                  <w:tcW w:w="1913" w:type="dxa"/>
                  <w:vMerge/>
                </w:tcPr>
                <w:p w:rsidR="00064C43" w:rsidRPr="003E4EB9" w:rsidRDefault="00064C43" w:rsidP="00064C43">
                  <w:pPr>
                    <w:pStyle w:val="af0"/>
                    <w:ind w:left="0"/>
                    <w:rPr>
                      <w:rFonts w:ascii="David" w:hAnsi="David"/>
                      <w:b/>
                      <w:bCs/>
                      <w:color w:val="000000" w:themeColor="text1"/>
                      <w:sz w:val="24"/>
                      <w:szCs w:val="24"/>
                      <w:rtl/>
                    </w:rPr>
                  </w:pPr>
                </w:p>
              </w:tc>
              <w:tc>
                <w:tcPr>
                  <w:tcW w:w="993"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26</w:t>
                  </w:r>
                </w:p>
              </w:tc>
              <w:tc>
                <w:tcPr>
                  <w:tcW w:w="3489"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color w:val="000000" w:themeColor="text1"/>
                      <w:spacing w:val="-4"/>
                      <w:sz w:val="24"/>
                      <w:szCs w:val="24"/>
                      <w:rtl/>
                    </w:rPr>
                    <w:t>ייצור מחשבים, מכשור אלקטרוני ואופטי</w:t>
                  </w:r>
                </w:p>
              </w:tc>
            </w:tr>
            <w:tr w:rsidR="003E4EB9" w:rsidRPr="003E4EB9" w:rsidTr="00A733FA">
              <w:trPr>
                <w:trHeight w:val="51"/>
              </w:trPr>
              <w:tc>
                <w:tcPr>
                  <w:tcW w:w="1913" w:type="dxa"/>
                  <w:vMerge/>
                </w:tcPr>
                <w:p w:rsidR="00064C43" w:rsidRPr="003E4EB9" w:rsidRDefault="00064C43" w:rsidP="00064C43">
                  <w:pPr>
                    <w:pStyle w:val="af0"/>
                    <w:ind w:left="0"/>
                    <w:rPr>
                      <w:rFonts w:ascii="David" w:hAnsi="David"/>
                      <w:b/>
                      <w:bCs/>
                      <w:color w:val="000000" w:themeColor="text1"/>
                      <w:sz w:val="24"/>
                      <w:szCs w:val="24"/>
                      <w:rtl/>
                    </w:rPr>
                  </w:pPr>
                </w:p>
              </w:tc>
              <w:tc>
                <w:tcPr>
                  <w:tcW w:w="993"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303</w:t>
                  </w:r>
                </w:p>
              </w:tc>
              <w:tc>
                <w:tcPr>
                  <w:tcW w:w="3489"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color w:val="000000" w:themeColor="text1"/>
                      <w:spacing w:val="-4"/>
                      <w:sz w:val="24"/>
                      <w:szCs w:val="24"/>
                      <w:rtl/>
                    </w:rPr>
                    <w:t>ייצור כלי טיס חלליות וציוד נלווה</w:t>
                  </w:r>
                </w:p>
              </w:tc>
            </w:tr>
            <w:tr w:rsidR="003E4EB9" w:rsidRPr="003E4EB9" w:rsidTr="00A733FA">
              <w:trPr>
                <w:trHeight w:val="51"/>
              </w:trPr>
              <w:tc>
                <w:tcPr>
                  <w:tcW w:w="1913" w:type="dxa"/>
                  <w:vMerge w:val="restart"/>
                </w:tcPr>
                <w:p w:rsidR="00064C43" w:rsidRPr="003E4EB9" w:rsidRDefault="00064C43" w:rsidP="00064C43">
                  <w:pPr>
                    <w:pStyle w:val="af0"/>
                    <w:ind w:left="0"/>
                    <w:rPr>
                      <w:rFonts w:ascii="David" w:hAnsi="David"/>
                      <w:b/>
                      <w:bCs/>
                      <w:color w:val="000000" w:themeColor="text1"/>
                      <w:sz w:val="24"/>
                      <w:szCs w:val="24"/>
                      <w:rtl/>
                    </w:rPr>
                  </w:pPr>
                  <w:r w:rsidRPr="003E4EB9">
                    <w:rPr>
                      <w:rFonts w:ascii="David" w:hAnsi="David" w:hint="cs"/>
                      <w:b/>
                      <w:bCs/>
                      <w:color w:val="000000" w:themeColor="text1"/>
                      <w:spacing w:val="-4"/>
                      <w:sz w:val="24"/>
                      <w:szCs w:val="24"/>
                      <w:rtl/>
                    </w:rPr>
                    <w:t>ענפי שירותים</w:t>
                  </w:r>
                  <w:r w:rsidRPr="003E4EB9">
                    <w:rPr>
                      <w:rFonts w:ascii="David" w:hAnsi="David" w:hint="cs"/>
                      <w:color w:val="000000" w:themeColor="text1"/>
                      <w:spacing w:val="-4"/>
                      <w:sz w:val="24"/>
                      <w:szCs w:val="24"/>
                      <w:rtl/>
                    </w:rPr>
                    <w:t xml:space="preserve"> (שירותים עתירי ידע)</w:t>
                  </w:r>
                </w:p>
              </w:tc>
              <w:tc>
                <w:tcPr>
                  <w:tcW w:w="993"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61</w:t>
                  </w:r>
                </w:p>
              </w:tc>
              <w:tc>
                <w:tcPr>
                  <w:tcW w:w="3489"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שירותי תקשורת</w:t>
                  </w:r>
                </w:p>
              </w:tc>
            </w:tr>
            <w:tr w:rsidR="003E4EB9" w:rsidRPr="003E4EB9" w:rsidTr="00A733FA">
              <w:trPr>
                <w:trHeight w:val="51"/>
              </w:trPr>
              <w:tc>
                <w:tcPr>
                  <w:tcW w:w="1913" w:type="dxa"/>
                  <w:vMerge/>
                </w:tcPr>
                <w:p w:rsidR="00064C43" w:rsidRPr="003E4EB9" w:rsidRDefault="00064C43" w:rsidP="00064C43">
                  <w:pPr>
                    <w:pStyle w:val="af0"/>
                    <w:ind w:left="0"/>
                    <w:rPr>
                      <w:rFonts w:ascii="David" w:hAnsi="David"/>
                      <w:b/>
                      <w:bCs/>
                      <w:color w:val="000000" w:themeColor="text1"/>
                      <w:sz w:val="24"/>
                      <w:szCs w:val="24"/>
                      <w:rtl/>
                    </w:rPr>
                  </w:pPr>
                </w:p>
              </w:tc>
              <w:tc>
                <w:tcPr>
                  <w:tcW w:w="993"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62</w:t>
                  </w:r>
                </w:p>
              </w:tc>
              <w:tc>
                <w:tcPr>
                  <w:tcW w:w="3489"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color w:val="000000" w:themeColor="text1"/>
                      <w:spacing w:val="-4"/>
                      <w:sz w:val="24"/>
                      <w:szCs w:val="24"/>
                      <w:rtl/>
                    </w:rPr>
                    <w:t>תכנות מחשבים, ייעוץ בתחום המחשבים ושירותים נלווים אחרים</w:t>
                  </w:r>
                </w:p>
              </w:tc>
            </w:tr>
            <w:tr w:rsidR="003E4EB9" w:rsidRPr="003E4EB9" w:rsidTr="00A733FA">
              <w:trPr>
                <w:trHeight w:val="51"/>
              </w:trPr>
              <w:tc>
                <w:tcPr>
                  <w:tcW w:w="1913" w:type="dxa"/>
                  <w:vMerge/>
                </w:tcPr>
                <w:p w:rsidR="00064C43" w:rsidRPr="003E4EB9" w:rsidRDefault="00064C43" w:rsidP="00064C43">
                  <w:pPr>
                    <w:pStyle w:val="af0"/>
                    <w:ind w:left="0"/>
                    <w:rPr>
                      <w:rFonts w:ascii="David" w:hAnsi="David"/>
                      <w:b/>
                      <w:bCs/>
                      <w:color w:val="000000" w:themeColor="text1"/>
                      <w:sz w:val="24"/>
                      <w:szCs w:val="24"/>
                      <w:rtl/>
                    </w:rPr>
                  </w:pPr>
                </w:p>
              </w:tc>
              <w:tc>
                <w:tcPr>
                  <w:tcW w:w="993"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631</w:t>
                  </w:r>
                </w:p>
              </w:tc>
              <w:tc>
                <w:tcPr>
                  <w:tcW w:w="3489"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color w:val="000000" w:themeColor="text1"/>
                      <w:spacing w:val="-4"/>
                      <w:sz w:val="24"/>
                      <w:szCs w:val="24"/>
                      <w:rtl/>
                    </w:rPr>
                    <w:t>עיבוד נתונים, אחסון ושירותים נלווים; אתרי שער לאינטרנט</w:t>
                  </w:r>
                </w:p>
              </w:tc>
            </w:tr>
            <w:tr w:rsidR="003E4EB9" w:rsidRPr="003E4EB9" w:rsidTr="00A733FA">
              <w:trPr>
                <w:trHeight w:val="51"/>
              </w:trPr>
              <w:tc>
                <w:tcPr>
                  <w:tcW w:w="1913" w:type="dxa"/>
                  <w:vMerge/>
                </w:tcPr>
                <w:p w:rsidR="00064C43" w:rsidRPr="003E4EB9" w:rsidRDefault="00064C43" w:rsidP="00064C43">
                  <w:pPr>
                    <w:pStyle w:val="af0"/>
                    <w:ind w:left="0"/>
                    <w:rPr>
                      <w:rFonts w:ascii="David" w:hAnsi="David"/>
                      <w:b/>
                      <w:bCs/>
                      <w:color w:val="000000" w:themeColor="text1"/>
                      <w:sz w:val="24"/>
                      <w:szCs w:val="24"/>
                      <w:rtl/>
                    </w:rPr>
                  </w:pPr>
                </w:p>
              </w:tc>
              <w:tc>
                <w:tcPr>
                  <w:tcW w:w="993"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720</w:t>
                  </w:r>
                </w:p>
              </w:tc>
              <w:tc>
                <w:tcPr>
                  <w:tcW w:w="3489"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color w:val="000000" w:themeColor="text1"/>
                      <w:spacing w:val="-4"/>
                      <w:sz w:val="24"/>
                      <w:szCs w:val="24"/>
                      <w:rtl/>
                    </w:rPr>
                    <w:t>מרכזי מחקר ופיתוח</w:t>
                  </w:r>
                </w:p>
              </w:tc>
            </w:tr>
            <w:tr w:rsidR="003E4EB9" w:rsidRPr="003E4EB9" w:rsidTr="00A733FA">
              <w:trPr>
                <w:trHeight w:val="51"/>
              </w:trPr>
              <w:tc>
                <w:tcPr>
                  <w:tcW w:w="1913" w:type="dxa"/>
                  <w:vMerge/>
                </w:tcPr>
                <w:p w:rsidR="00064C43" w:rsidRPr="003E4EB9" w:rsidRDefault="00064C43" w:rsidP="00064C43">
                  <w:pPr>
                    <w:pStyle w:val="af0"/>
                    <w:ind w:left="0"/>
                    <w:rPr>
                      <w:rFonts w:ascii="David" w:hAnsi="David"/>
                      <w:b/>
                      <w:bCs/>
                      <w:color w:val="000000" w:themeColor="text1"/>
                      <w:sz w:val="24"/>
                      <w:szCs w:val="24"/>
                      <w:rtl/>
                    </w:rPr>
                  </w:pPr>
                </w:p>
              </w:tc>
              <w:tc>
                <w:tcPr>
                  <w:tcW w:w="993"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hint="cs"/>
                      <w:color w:val="000000" w:themeColor="text1"/>
                      <w:sz w:val="24"/>
                      <w:szCs w:val="24"/>
                      <w:rtl/>
                    </w:rPr>
                    <w:t>721</w:t>
                  </w:r>
                </w:p>
              </w:tc>
              <w:tc>
                <w:tcPr>
                  <w:tcW w:w="3489" w:type="dxa"/>
                </w:tcPr>
                <w:p w:rsidR="00064C43" w:rsidRPr="003E4EB9" w:rsidRDefault="00064C43" w:rsidP="00064C43">
                  <w:pPr>
                    <w:pStyle w:val="af0"/>
                    <w:ind w:left="0"/>
                    <w:jc w:val="both"/>
                    <w:rPr>
                      <w:rFonts w:ascii="David" w:hAnsi="David"/>
                      <w:color w:val="000000" w:themeColor="text1"/>
                      <w:sz w:val="24"/>
                      <w:szCs w:val="24"/>
                      <w:rtl/>
                    </w:rPr>
                  </w:pPr>
                  <w:r w:rsidRPr="003E4EB9">
                    <w:rPr>
                      <w:rFonts w:ascii="David" w:hAnsi="David"/>
                      <w:color w:val="000000" w:themeColor="text1"/>
                      <w:spacing w:val="-4"/>
                      <w:sz w:val="24"/>
                      <w:szCs w:val="24"/>
                      <w:rtl/>
                    </w:rPr>
                    <w:t>מחקר ופיתוח בהנדסה ובמדעי הטבע</w:t>
                  </w:r>
                </w:p>
              </w:tc>
            </w:tr>
          </w:tbl>
          <w:p w:rsidR="00064C43" w:rsidRPr="003E4EB9" w:rsidRDefault="00064C43" w:rsidP="00064C43">
            <w:pPr>
              <w:pStyle w:val="af0"/>
              <w:spacing w:after="160" w:line="259" w:lineRule="auto"/>
              <w:ind w:left="61"/>
              <w:rPr>
                <w:rFonts w:ascii="David" w:hAnsi="David"/>
                <w:color w:val="000000" w:themeColor="text1"/>
                <w:spacing w:val="-4"/>
                <w:sz w:val="24"/>
                <w:szCs w:val="24"/>
                <w:rtl/>
              </w:rPr>
            </w:pPr>
          </w:p>
          <w:p w:rsidR="00064C43" w:rsidRPr="003E4EB9" w:rsidRDefault="00064C43" w:rsidP="00064C43">
            <w:pPr>
              <w:pStyle w:val="af0"/>
              <w:spacing w:after="160" w:line="20" w:lineRule="exact"/>
              <w:ind w:left="62"/>
              <w:rPr>
                <w:rFonts w:ascii="David" w:hAnsi="David"/>
                <w:color w:val="000000" w:themeColor="text1"/>
                <w:spacing w:val="-4"/>
                <w:sz w:val="24"/>
                <w:szCs w:val="24"/>
                <w:rtl/>
              </w:rPr>
            </w:pPr>
          </w:p>
          <w:p w:rsidR="00064C43" w:rsidRPr="003E4EB9" w:rsidRDefault="00064C43" w:rsidP="00064C43">
            <w:pPr>
              <w:pStyle w:val="af0"/>
              <w:spacing w:after="160" w:line="40" w:lineRule="exact"/>
              <w:ind w:left="62"/>
              <w:rPr>
                <w:rFonts w:ascii="David" w:hAnsi="David"/>
                <w:color w:val="000000" w:themeColor="text1"/>
                <w:spacing w:val="-4"/>
                <w:sz w:val="24"/>
                <w:szCs w:val="24"/>
                <w:rtl/>
              </w:rPr>
            </w:pPr>
          </w:p>
        </w:tc>
      </w:tr>
    </w:tbl>
    <w:p w:rsidR="001C7C39" w:rsidRPr="003E4EB9" w:rsidRDefault="001C7C39" w:rsidP="003018E1">
      <w:pPr>
        <w:pStyle w:val="4"/>
        <w:rPr>
          <w:color w:val="000000" w:themeColor="text1"/>
          <w:rtl/>
        </w:rPr>
      </w:pPr>
      <w:r w:rsidRPr="003E4EB9">
        <w:rPr>
          <w:color w:val="000000" w:themeColor="text1"/>
          <w:rtl/>
        </w:rPr>
        <w:t xml:space="preserve">לוח </w:t>
      </w:r>
      <w:r w:rsidR="003018E1" w:rsidRPr="003E4EB9">
        <w:rPr>
          <w:rFonts w:hint="cs"/>
          <w:color w:val="000000" w:themeColor="text1"/>
          <w:rtl/>
        </w:rPr>
        <w:t>9</w:t>
      </w:r>
      <w:r w:rsidRPr="003E4EB9">
        <w:rPr>
          <w:color w:val="000000" w:themeColor="text1"/>
          <w:rtl/>
        </w:rPr>
        <w:t>:</w:t>
      </w:r>
      <w:r w:rsidR="00DB1B23" w:rsidRPr="003E4EB9">
        <w:rPr>
          <w:rFonts w:hint="cs"/>
          <w:color w:val="000000" w:themeColor="text1"/>
          <w:rtl/>
        </w:rPr>
        <w:t xml:space="preserve"> </w:t>
      </w:r>
      <w:r w:rsidR="00CE7D4C" w:rsidRPr="003E4EB9">
        <w:rPr>
          <w:rFonts w:hint="cs"/>
          <w:color w:val="000000" w:themeColor="text1"/>
          <w:rtl/>
        </w:rPr>
        <w:t>מאגר העסקים  של עיריית תל-אביב-יפו</w:t>
      </w:r>
    </w:p>
    <w:p w:rsidR="001C7C39" w:rsidRPr="003E4EB9" w:rsidRDefault="001C7C39" w:rsidP="00B331CD">
      <w:pPr>
        <w:spacing w:line="120" w:lineRule="auto"/>
        <w:ind w:right="-992"/>
        <w:rPr>
          <w:rFonts w:ascii="Arial" w:hAnsi="Arial" w:cs="David"/>
          <w:color w:val="000000" w:themeColor="text1"/>
          <w:spacing w:val="4"/>
          <w:rtl/>
        </w:rPr>
      </w:pPr>
    </w:p>
    <w:p w:rsidR="006434F1" w:rsidRPr="003E4EB9" w:rsidRDefault="006434F1" w:rsidP="00DB726A">
      <w:pPr>
        <w:pStyle w:val="af0"/>
        <w:ind w:left="9"/>
        <w:rPr>
          <w:color w:val="000000" w:themeColor="text1"/>
          <w:spacing w:val="2"/>
          <w:sz w:val="24"/>
          <w:szCs w:val="24"/>
          <w:rtl/>
        </w:rPr>
      </w:pPr>
      <w:r w:rsidRPr="003E4EB9">
        <w:rPr>
          <w:rFonts w:hint="cs"/>
          <w:color w:val="000000" w:themeColor="text1"/>
          <w:spacing w:val="2"/>
          <w:sz w:val="24"/>
          <w:szCs w:val="24"/>
          <w:rtl/>
        </w:rPr>
        <w:t xml:space="preserve">מאגר העסקים העירוני מתבסס על יחידות החיוב של הארנונה, שאינן למגורים ומתייחס ליחידות בעלות שטח פיזי בלבד. </w:t>
      </w:r>
      <w:r w:rsidR="00DB726A" w:rsidRPr="003E4EB9">
        <w:rPr>
          <w:rFonts w:hint="cs"/>
          <w:color w:val="000000" w:themeColor="text1"/>
          <w:spacing w:val="2"/>
          <w:sz w:val="24"/>
          <w:szCs w:val="24"/>
          <w:rtl/>
        </w:rPr>
        <w:t xml:space="preserve">בעסקים הכוללים יותר משימוש אחד, </w:t>
      </w:r>
      <w:r w:rsidRPr="003E4EB9">
        <w:rPr>
          <w:rFonts w:hint="cs"/>
          <w:color w:val="000000" w:themeColor="text1"/>
          <w:spacing w:val="2"/>
          <w:sz w:val="24"/>
          <w:szCs w:val="24"/>
          <w:rtl/>
        </w:rPr>
        <w:t xml:space="preserve">שימוש העסק </w:t>
      </w:r>
      <w:r w:rsidR="00DB726A" w:rsidRPr="003E4EB9">
        <w:rPr>
          <w:rFonts w:hint="cs"/>
          <w:color w:val="000000" w:themeColor="text1"/>
          <w:spacing w:val="2"/>
          <w:sz w:val="24"/>
          <w:szCs w:val="24"/>
          <w:rtl/>
        </w:rPr>
        <w:t>נקבע לפי השימוש העיקרי של העסק.</w:t>
      </w:r>
    </w:p>
    <w:p w:rsidR="006434F1" w:rsidRPr="003E4EB9" w:rsidRDefault="006434F1" w:rsidP="006434F1">
      <w:pPr>
        <w:pStyle w:val="af0"/>
        <w:ind w:left="9"/>
        <w:rPr>
          <w:rFonts w:ascii="Blender" w:hAnsi="Blender" w:cs="Blender"/>
          <w:color w:val="000000" w:themeColor="text1"/>
          <w:sz w:val="24"/>
          <w:szCs w:val="24"/>
          <w:rtl/>
        </w:rPr>
      </w:pPr>
      <w:r w:rsidRPr="003E4EB9">
        <w:rPr>
          <w:rFonts w:hint="cs"/>
          <w:color w:val="000000" w:themeColor="text1"/>
          <w:spacing w:val="2"/>
          <w:sz w:val="24"/>
          <w:szCs w:val="24"/>
          <w:rtl/>
        </w:rPr>
        <w:t xml:space="preserve">מאגר העסקים העירוני שונה ממרשם העסקים של הלשכה המרכזית לסטטיסטיקה באופן הגדרתו ולפיכך לא ניתן להשוות בין שני מקורות הנתונים. </w:t>
      </w:r>
    </w:p>
    <w:p w:rsidR="006434F1" w:rsidRPr="003E4EB9" w:rsidRDefault="006434F1" w:rsidP="006434F1">
      <w:pPr>
        <w:ind w:right="-426"/>
        <w:rPr>
          <w:rFonts w:ascii="Arial" w:hAnsi="Arial" w:cs="David"/>
          <w:color w:val="000000" w:themeColor="text1"/>
          <w:spacing w:val="2"/>
          <w:sz w:val="24"/>
          <w:szCs w:val="24"/>
          <w:rtl/>
        </w:rPr>
      </w:pPr>
    </w:p>
    <w:p w:rsidR="001C7C39" w:rsidRPr="003E4EB9" w:rsidRDefault="001C7C39" w:rsidP="003E4EB9">
      <w:pPr>
        <w:pStyle w:val="4"/>
        <w:rPr>
          <w:color w:val="000000" w:themeColor="text1"/>
          <w:rtl/>
        </w:rPr>
      </w:pPr>
      <w:r w:rsidRPr="003E4EB9">
        <w:rPr>
          <w:color w:val="000000" w:themeColor="text1"/>
          <w:rtl/>
        </w:rPr>
        <w:t xml:space="preserve">לוחות </w:t>
      </w:r>
      <w:r w:rsidR="00C7163C" w:rsidRPr="003E4EB9">
        <w:rPr>
          <w:rFonts w:hint="cs"/>
          <w:color w:val="000000" w:themeColor="text1"/>
          <w:rtl/>
        </w:rPr>
        <w:t>1</w:t>
      </w:r>
      <w:r w:rsidR="003018E1" w:rsidRPr="003E4EB9">
        <w:rPr>
          <w:rFonts w:hint="cs"/>
          <w:color w:val="000000" w:themeColor="text1"/>
          <w:rtl/>
        </w:rPr>
        <w:t>1</w:t>
      </w:r>
      <w:r w:rsidR="002B2F5A" w:rsidRPr="003E4EB9">
        <w:rPr>
          <w:rFonts w:hint="cs"/>
          <w:color w:val="000000" w:themeColor="text1"/>
          <w:rtl/>
        </w:rPr>
        <w:t>-</w:t>
      </w:r>
      <w:r w:rsidR="003018E1" w:rsidRPr="003E4EB9">
        <w:rPr>
          <w:rFonts w:hint="cs"/>
          <w:color w:val="000000" w:themeColor="text1"/>
          <w:rtl/>
        </w:rPr>
        <w:t>10</w:t>
      </w:r>
      <w:r w:rsidRPr="003E4EB9">
        <w:rPr>
          <w:color w:val="000000" w:themeColor="text1"/>
          <w:rtl/>
        </w:rPr>
        <w:t>: הבורסה לניירות ערך, ת"א</w:t>
      </w:r>
      <w:r w:rsidR="00FB19C3" w:rsidRPr="003E4EB9">
        <w:rPr>
          <w:rFonts w:hint="cs"/>
          <w:color w:val="000000" w:themeColor="text1"/>
          <w:rtl/>
        </w:rPr>
        <w:t xml:space="preserve">, סקירה שנתית </w:t>
      </w:r>
      <w:r w:rsidR="001A1677" w:rsidRPr="003E4EB9">
        <w:rPr>
          <w:rFonts w:hint="cs"/>
          <w:color w:val="000000" w:themeColor="text1"/>
          <w:rtl/>
        </w:rPr>
        <w:t>202</w:t>
      </w:r>
      <w:r w:rsidR="003E4EB9" w:rsidRPr="003E4EB9">
        <w:rPr>
          <w:rFonts w:hint="cs"/>
          <w:color w:val="000000" w:themeColor="text1"/>
          <w:rtl/>
        </w:rPr>
        <w:t>4</w:t>
      </w:r>
    </w:p>
    <w:tbl>
      <w:tblPr>
        <w:bidiVisual/>
        <w:tblW w:w="8730" w:type="dxa"/>
        <w:tblInd w:w="108" w:type="dxa"/>
        <w:tblLayout w:type="fixed"/>
        <w:tblCellMar>
          <w:top w:w="142" w:type="dxa"/>
        </w:tblCellMar>
        <w:tblLook w:val="01E0" w:firstRow="1" w:lastRow="1" w:firstColumn="1" w:lastColumn="1" w:noHBand="0" w:noVBand="0"/>
        <w:tblCaption w:val="לוחות 12-9: הבורסה לניירות ערך, ת&quot;א, סקירה שנתית 2016"/>
      </w:tblPr>
      <w:tblGrid>
        <w:gridCol w:w="2209"/>
        <w:gridCol w:w="6521"/>
      </w:tblGrid>
      <w:tr w:rsidR="003E4EB9" w:rsidRPr="003E4EB9" w:rsidTr="00CC5A8D">
        <w:tc>
          <w:tcPr>
            <w:tcW w:w="2209" w:type="dxa"/>
          </w:tcPr>
          <w:p w:rsidR="00681B55" w:rsidRPr="003E4EB9" w:rsidRDefault="00681B55" w:rsidP="00200C35">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מניות</w:t>
            </w:r>
          </w:p>
        </w:tc>
        <w:tc>
          <w:tcPr>
            <w:tcW w:w="6521" w:type="dxa"/>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סוג של נייר ערך המהווה שטר בעלות על חלק מחברה ומקנה למחזיק בה מעמד של שותף בחברה.</w:t>
            </w:r>
          </w:p>
          <w:p w:rsidR="00681B55" w:rsidRPr="003E4EB9" w:rsidRDefault="00681B55" w:rsidP="00CC5A8D">
            <w:pPr>
              <w:spacing w:line="160" w:lineRule="exact"/>
              <w:ind w:left="142" w:hanging="142"/>
              <w:jc w:val="both"/>
              <w:rPr>
                <w:rFonts w:ascii="Arial" w:hAnsi="Arial" w:cs="David"/>
                <w:color w:val="000000" w:themeColor="text1"/>
                <w:sz w:val="24"/>
                <w:szCs w:val="24"/>
                <w:rtl/>
              </w:rPr>
            </w:pPr>
          </w:p>
        </w:tc>
      </w:tr>
      <w:tr w:rsidR="003E4EB9" w:rsidRPr="003E4EB9" w:rsidTr="00CC5A8D">
        <w:tc>
          <w:tcPr>
            <w:tcW w:w="2209" w:type="dxa"/>
          </w:tcPr>
          <w:p w:rsidR="00681B55" w:rsidRPr="003E4EB9" w:rsidRDefault="00681B55" w:rsidP="00200C35">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ניירות ערך המירים</w:t>
            </w:r>
          </w:p>
        </w:tc>
        <w:tc>
          <w:tcPr>
            <w:tcW w:w="6521" w:type="dxa"/>
          </w:tcPr>
          <w:p w:rsidR="00681B55" w:rsidRPr="003E4EB9" w:rsidRDefault="0014085A"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w:t>
            </w:r>
            <w:r w:rsidR="00681B55" w:rsidRPr="003E4EB9">
              <w:rPr>
                <w:color w:val="000000" w:themeColor="text1"/>
                <w:sz w:val="24"/>
                <w:szCs w:val="24"/>
                <w:rtl/>
              </w:rPr>
              <w:t>מוצרים" הניתנים להמרה לניירות ערך אחרים. בבורסה נסחרים מספר סוגים של ניירות ערך</w:t>
            </w:r>
            <w:r w:rsidR="00681B55" w:rsidRPr="003E4EB9">
              <w:rPr>
                <w:color w:val="000000" w:themeColor="text1"/>
                <w:sz w:val="24"/>
                <w:szCs w:val="24"/>
              </w:rPr>
              <w:t xml:space="preserve"> </w:t>
            </w:r>
            <w:r w:rsidR="00681B55" w:rsidRPr="003E4EB9">
              <w:rPr>
                <w:color w:val="000000" w:themeColor="text1"/>
                <w:sz w:val="24"/>
                <w:szCs w:val="24"/>
                <w:rtl/>
              </w:rPr>
              <w:t>המירים, ובהם כתבי אופציה ואיגרות חוב להמרה</w:t>
            </w:r>
            <w:r w:rsidR="00681B55" w:rsidRPr="003E4EB9">
              <w:rPr>
                <w:rFonts w:hint="cs"/>
                <w:color w:val="000000" w:themeColor="text1"/>
                <w:sz w:val="24"/>
                <w:szCs w:val="24"/>
                <w:rtl/>
              </w:rPr>
              <w:t>.</w:t>
            </w:r>
          </w:p>
        </w:tc>
      </w:tr>
      <w:tr w:rsidR="003E4EB9" w:rsidRPr="003E4EB9" w:rsidTr="00CC5A8D">
        <w:tc>
          <w:tcPr>
            <w:tcW w:w="2209" w:type="dxa"/>
          </w:tcPr>
          <w:p w:rsidR="00681B55" w:rsidRPr="003E4EB9" w:rsidRDefault="00681B55" w:rsidP="00200C35">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איגרות חוב (אג"ח)</w:t>
            </w:r>
          </w:p>
        </w:tc>
        <w:tc>
          <w:tcPr>
            <w:tcW w:w="6521" w:type="dxa"/>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 xml:space="preserve">סוג של הלוואה או שטר חוב. החברה המנפיקה אג"ח לווה מקוני שטר החוב כסף (קרן ההלוואה), ומתחייבת להחזירו בתוספת ריבית והצמדה. בבורסה בתל-אביב נסחרות איגרות חוב ממשלתיות ואיגרות חוב קונצרניות/תאגידיות (הונפקו ע"י חברות). </w:t>
            </w:r>
          </w:p>
        </w:tc>
      </w:tr>
      <w:tr w:rsidR="003E4EB9" w:rsidRPr="003E4EB9" w:rsidTr="00CC5A8D">
        <w:tc>
          <w:tcPr>
            <w:tcW w:w="2209" w:type="dxa"/>
          </w:tcPr>
          <w:p w:rsidR="00681B55" w:rsidRPr="003E4EB9" w:rsidRDefault="00681B55" w:rsidP="00200C35">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איגרות חוב ממשלתיות</w:t>
            </w:r>
          </w:p>
        </w:tc>
        <w:tc>
          <w:tcPr>
            <w:tcW w:w="6521" w:type="dxa"/>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 xml:space="preserve">משמשות את </w:t>
            </w:r>
            <w:hyperlink r:id="rId8" w:tgtFrame="Custom" w:history="1">
              <w:r w:rsidRPr="003E4EB9">
                <w:rPr>
                  <w:color w:val="000000" w:themeColor="text1"/>
                  <w:sz w:val="24"/>
                  <w:szCs w:val="24"/>
                  <w:rtl/>
                </w:rPr>
                <w:t>ממשלת ישראל</w:t>
              </w:r>
            </w:hyperlink>
            <w:r w:rsidRPr="003E4EB9">
              <w:rPr>
                <w:rFonts w:hint="cs"/>
                <w:color w:val="000000" w:themeColor="text1"/>
                <w:sz w:val="24"/>
                <w:szCs w:val="24"/>
                <w:rtl/>
              </w:rPr>
              <w:t xml:space="preserve"> לשם גיוס כספים מהציבור הרחב, ומיחזור אג"ח ותיקות המגיעות לפדיון, זאת, לצורך מימון תוספות לתקציב הממשלתי מעבר להכנסותיה ממיסים, בדומה לממשלות ברחבי העולם.</w:t>
            </w:r>
          </w:p>
        </w:tc>
      </w:tr>
      <w:tr w:rsidR="003E4EB9" w:rsidRPr="003E4EB9" w:rsidTr="00CC5A8D">
        <w:tc>
          <w:tcPr>
            <w:tcW w:w="2209" w:type="dxa"/>
          </w:tcPr>
          <w:p w:rsidR="00681B55" w:rsidRPr="003E4EB9" w:rsidRDefault="00681B55" w:rsidP="00200C35">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מילווה קצר מועד (מק"מ)</w:t>
            </w:r>
          </w:p>
        </w:tc>
        <w:tc>
          <w:tcPr>
            <w:tcW w:w="6521" w:type="dxa"/>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 xml:space="preserve">סוג של </w:t>
            </w:r>
            <w:hyperlink r:id="rId9" w:tooltip="אג&quot;ח בקליק" w:history="1">
              <w:r w:rsidRPr="003E4EB9">
                <w:rPr>
                  <w:color w:val="000000" w:themeColor="text1"/>
                  <w:sz w:val="24"/>
                  <w:szCs w:val="24"/>
                  <w:rtl/>
                </w:rPr>
                <w:t>איגרת חוב</w:t>
              </w:r>
            </w:hyperlink>
            <w:r w:rsidRPr="003E4EB9">
              <w:rPr>
                <w:rFonts w:hint="cs"/>
                <w:color w:val="000000" w:themeColor="text1"/>
                <w:sz w:val="24"/>
                <w:szCs w:val="24"/>
                <w:rtl/>
              </w:rPr>
              <w:t xml:space="preserve"> ממשלתית קצרת מועד, המונפקת לתקופה של שנה לכל היותר, ומקביל לפיקדון קצר טווח בבנקים. המק"מ מונפק על ידי </w:t>
            </w:r>
            <w:hyperlink r:id="rId10" w:tgtFrame="Custom" w:history="1">
              <w:r w:rsidRPr="003E4EB9">
                <w:rPr>
                  <w:color w:val="000000" w:themeColor="text1"/>
                  <w:sz w:val="24"/>
                  <w:szCs w:val="24"/>
                  <w:rtl/>
                </w:rPr>
                <w:t>בנק ישראל</w:t>
              </w:r>
            </w:hyperlink>
            <w:r w:rsidRPr="003E4EB9">
              <w:rPr>
                <w:rFonts w:hint="cs"/>
                <w:color w:val="000000" w:themeColor="text1"/>
                <w:sz w:val="24"/>
                <w:szCs w:val="24"/>
                <w:rtl/>
              </w:rPr>
              <w:t> כאמצעי לספיגת כספים מהציבור ולוויסות הפעילות הכלכלית במשק.</w:t>
            </w:r>
          </w:p>
        </w:tc>
      </w:tr>
      <w:tr w:rsidR="002F372D" w:rsidRPr="003E4EB9" w:rsidTr="00CC5A8D">
        <w:tc>
          <w:tcPr>
            <w:tcW w:w="2209" w:type="dxa"/>
          </w:tcPr>
          <w:p w:rsidR="00681B55" w:rsidRPr="003E4EB9" w:rsidRDefault="00681B55" w:rsidP="00200C35">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מוצרי מדדים ("מכשירי אינדקס")</w:t>
            </w:r>
          </w:p>
        </w:tc>
        <w:tc>
          <w:tcPr>
            <w:tcW w:w="6521" w:type="dxa"/>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 xml:space="preserve">מכשירים פיננסיים, העוקבים אחר מדדי מניות, ואשר מאפשרים למשקיעים לרכוש "סל" סחיר של המניות הכלולות במדדים, וכך "להיצמד" לביצועי המדדים בקלות ובעלות נמוכה. ביניהם ניתן למצוא מוצרים כגון: תעודות סל, תעודות מורכבות, תעודות סחורה, אופציות כיסוי ותעודות בחסר. </w:t>
            </w:r>
          </w:p>
        </w:tc>
      </w:tr>
    </w:tbl>
    <w:p w:rsidR="00B60B59" w:rsidRPr="003E4EB9" w:rsidRDefault="00B60B59" w:rsidP="00CE7D4C">
      <w:pPr>
        <w:pStyle w:val="4"/>
        <w:spacing w:before="300" w:line="160" w:lineRule="exact"/>
        <w:rPr>
          <w:color w:val="000000" w:themeColor="text1"/>
          <w:rtl/>
        </w:rPr>
      </w:pPr>
    </w:p>
    <w:p w:rsidR="00141783" w:rsidRPr="003E4EB9" w:rsidRDefault="00141783" w:rsidP="003018E1">
      <w:pPr>
        <w:pStyle w:val="4"/>
        <w:spacing w:before="300"/>
        <w:rPr>
          <w:color w:val="000000" w:themeColor="text1"/>
          <w:rtl/>
        </w:rPr>
      </w:pPr>
      <w:r w:rsidRPr="003E4EB9">
        <w:rPr>
          <w:color w:val="000000" w:themeColor="text1"/>
          <w:rtl/>
        </w:rPr>
        <w:t xml:space="preserve">לוח </w:t>
      </w:r>
      <w:r w:rsidR="00C7163C" w:rsidRPr="003E4EB9">
        <w:rPr>
          <w:rFonts w:hint="cs"/>
          <w:color w:val="000000" w:themeColor="text1"/>
          <w:rtl/>
        </w:rPr>
        <w:t>1</w:t>
      </w:r>
      <w:r w:rsidR="003018E1" w:rsidRPr="003E4EB9">
        <w:rPr>
          <w:rFonts w:hint="cs"/>
          <w:color w:val="000000" w:themeColor="text1"/>
          <w:rtl/>
        </w:rPr>
        <w:t>2</w:t>
      </w:r>
      <w:r w:rsidRPr="003E4EB9">
        <w:rPr>
          <w:rFonts w:hint="cs"/>
          <w:color w:val="000000" w:themeColor="text1"/>
          <w:rtl/>
        </w:rPr>
        <w:t>:</w:t>
      </w:r>
      <w:r w:rsidRPr="003E4EB9">
        <w:rPr>
          <w:color w:val="000000" w:themeColor="text1"/>
          <w:rtl/>
        </w:rPr>
        <w:t xml:space="preserve"> הלמ"ס, סקר </w:t>
      </w:r>
      <w:r w:rsidR="009A70BA" w:rsidRPr="003E4EB9">
        <w:rPr>
          <w:color w:val="000000" w:themeColor="text1"/>
          <w:rtl/>
        </w:rPr>
        <w:t>התעשייה</w:t>
      </w:r>
    </w:p>
    <w:p w:rsidR="00141783" w:rsidRPr="003E4EB9" w:rsidRDefault="008746FE" w:rsidP="00CC5A8D">
      <w:pPr>
        <w:spacing w:before="60"/>
        <w:jc w:val="both"/>
        <w:rPr>
          <w:rFonts w:ascii="Arial" w:hAnsi="Arial" w:cs="David"/>
          <w:b/>
          <w:bCs/>
          <w:color w:val="000000" w:themeColor="text1"/>
          <w:sz w:val="22"/>
          <w:szCs w:val="24"/>
          <w:rtl/>
        </w:rPr>
      </w:pPr>
      <w:r w:rsidRPr="003E4EB9">
        <w:rPr>
          <w:rFonts w:ascii="Arial" w:hAnsi="Arial" w:cs="David"/>
          <w:color w:val="000000" w:themeColor="text1"/>
          <w:sz w:val="22"/>
          <w:szCs w:val="24"/>
          <w:rtl/>
        </w:rPr>
        <w:t>מקור הנתונים ה</w:t>
      </w:r>
      <w:r w:rsidR="0065651C" w:rsidRPr="003E4EB9">
        <w:rPr>
          <w:rFonts w:ascii="Arial" w:hAnsi="Arial" w:cs="David" w:hint="cs"/>
          <w:color w:val="000000" w:themeColor="text1"/>
          <w:sz w:val="22"/>
          <w:szCs w:val="24"/>
          <w:rtl/>
        </w:rPr>
        <w:t xml:space="preserve">וא </w:t>
      </w:r>
      <w:r w:rsidRPr="003E4EB9">
        <w:rPr>
          <w:rFonts w:ascii="Arial" w:hAnsi="Arial" w:cs="David"/>
          <w:color w:val="000000" w:themeColor="text1"/>
          <w:sz w:val="22"/>
          <w:szCs w:val="24"/>
          <w:rtl/>
        </w:rPr>
        <w:t>סקר</w:t>
      </w:r>
      <w:r w:rsidRPr="003E4EB9">
        <w:rPr>
          <w:rFonts w:ascii="Arial" w:hAnsi="Arial" w:cs="David" w:hint="cs"/>
          <w:color w:val="000000" w:themeColor="text1"/>
          <w:sz w:val="22"/>
          <w:szCs w:val="24"/>
          <w:rtl/>
        </w:rPr>
        <w:t xml:space="preserve"> שנתי של תעשייה, כרייה וחציבה </w:t>
      </w:r>
      <w:r w:rsidRPr="003E4EB9">
        <w:rPr>
          <w:rFonts w:ascii="Arial" w:hAnsi="Arial" w:cs="David"/>
          <w:color w:val="000000" w:themeColor="text1"/>
          <w:sz w:val="22"/>
          <w:szCs w:val="24"/>
          <w:rtl/>
        </w:rPr>
        <w:t>של הלמ"ס.</w:t>
      </w:r>
      <w:r w:rsidRPr="003E4EB9">
        <w:rPr>
          <w:rFonts w:ascii="Arial" w:hAnsi="Arial" w:cs="David" w:hint="cs"/>
          <w:color w:val="000000" w:themeColor="text1"/>
          <w:sz w:val="22"/>
          <w:szCs w:val="24"/>
          <w:rtl/>
        </w:rPr>
        <w:t xml:space="preserve"> הנתונים בלוחות הינם על פי הסיווג הענפי החדש: "הסיווג האחיד של ענפי הכלכלה, 2011" (במקום "הסיווג האחיד של ענפי הכלכלה, 1993").</w:t>
      </w:r>
      <w:r w:rsidR="004F7360" w:rsidRPr="003E4EB9">
        <w:rPr>
          <w:rFonts w:ascii="Arial" w:hAnsi="Arial" w:cs="David" w:hint="cs"/>
          <w:color w:val="000000" w:themeColor="text1"/>
          <w:sz w:val="22"/>
          <w:szCs w:val="24"/>
          <w:rtl/>
        </w:rPr>
        <w:t xml:space="preserve"> </w:t>
      </w:r>
      <w:r w:rsidR="00A301BF" w:rsidRPr="003E4EB9">
        <w:rPr>
          <w:rFonts w:ascii="Arial" w:hAnsi="Arial" w:cs="David" w:hint="cs"/>
          <w:b/>
          <w:bCs/>
          <w:color w:val="000000" w:themeColor="text1"/>
          <w:sz w:val="22"/>
          <w:szCs w:val="24"/>
          <w:rtl/>
        </w:rPr>
        <w:t>אפשרות</w:t>
      </w:r>
      <w:r w:rsidRPr="003E4EB9">
        <w:rPr>
          <w:rFonts w:ascii="Arial" w:hAnsi="Arial" w:cs="David" w:hint="cs"/>
          <w:b/>
          <w:bCs/>
          <w:color w:val="000000" w:themeColor="text1"/>
          <w:sz w:val="22"/>
          <w:szCs w:val="24"/>
          <w:rtl/>
        </w:rPr>
        <w:t xml:space="preserve"> ההשוואה לסקרים שנערכו בשנים קודמות היא מוגבלת, ולפיכך נתוני שנים קודמות אינם מוצגים בפרק. </w:t>
      </w:r>
      <w:r w:rsidR="008D289C" w:rsidRPr="003E4EB9">
        <w:rPr>
          <w:rFonts w:ascii="Arial" w:hAnsi="Arial" w:cs="David" w:hint="cs"/>
          <w:b/>
          <w:bCs/>
          <w:color w:val="000000" w:themeColor="text1"/>
          <w:sz w:val="22"/>
          <w:szCs w:val="24"/>
          <w:rtl/>
        </w:rPr>
        <w:t xml:space="preserve">כמו כן, בשנת 2014 בוצע עדכון למיקומי מפעלי התעשייה שנדגמו בסקר. לפיכך, לא ניתן להשוות את נתוני התעשייה לשנת 2014 עם נתוני שנים קודמות. </w:t>
      </w:r>
    </w:p>
    <w:p w:rsidR="00CF4E99" w:rsidRPr="003E4EB9" w:rsidRDefault="00141783" w:rsidP="00200C35">
      <w:pPr>
        <w:pStyle w:val="10"/>
        <w:ind w:left="0" w:right="0" w:firstLine="0"/>
        <w:rPr>
          <w:rFonts w:ascii="Arial" w:hAnsi="Arial"/>
          <w:color w:val="000000" w:themeColor="text1"/>
          <w:rtl/>
        </w:rPr>
      </w:pPr>
      <w:r w:rsidRPr="003E4EB9">
        <w:rPr>
          <w:rFonts w:ascii="Arial" w:hAnsi="Arial"/>
          <w:b/>
          <w:bCs/>
          <w:color w:val="000000" w:themeColor="text1"/>
          <w:rtl/>
        </w:rPr>
        <w:t xml:space="preserve">אוכלוסיית הסקר </w:t>
      </w:r>
      <w:r w:rsidR="00CF4E99" w:rsidRPr="003E4EB9">
        <w:rPr>
          <w:rFonts w:ascii="Arial" w:hAnsi="Arial" w:hint="cs"/>
          <w:color w:val="000000" w:themeColor="text1"/>
          <w:rtl/>
        </w:rPr>
        <w:t>- מפ</w:t>
      </w:r>
      <w:r w:rsidR="009D0963" w:rsidRPr="003E4EB9">
        <w:rPr>
          <w:rFonts w:ascii="Arial" w:hAnsi="Arial" w:hint="cs"/>
          <w:color w:val="000000" w:themeColor="text1"/>
          <w:rtl/>
        </w:rPr>
        <w:t>עלי תעשייה עם משרת שכיר אחת לפחות</w:t>
      </w:r>
      <w:r w:rsidR="00560664" w:rsidRPr="003E4EB9">
        <w:rPr>
          <w:rFonts w:ascii="Arial" w:hAnsi="Arial" w:hint="cs"/>
          <w:color w:val="000000" w:themeColor="text1"/>
          <w:rtl/>
        </w:rPr>
        <w:t>, כולל משרות של לא-שכירים. האוכלוסייה אינה כוללת את ענף היהלומים</w:t>
      </w:r>
      <w:r w:rsidR="00AE213B" w:rsidRPr="003E4EB9">
        <w:rPr>
          <w:rFonts w:ascii="Arial" w:hAnsi="Arial" w:hint="cs"/>
          <w:color w:val="000000" w:themeColor="text1"/>
          <w:rtl/>
        </w:rPr>
        <w:t xml:space="preserve"> ומוסדות הפועלים ללא כוונת רווח</w:t>
      </w:r>
      <w:r w:rsidR="00560664" w:rsidRPr="003E4EB9">
        <w:rPr>
          <w:rFonts w:ascii="Arial" w:hAnsi="Arial" w:hint="cs"/>
          <w:color w:val="000000" w:themeColor="text1"/>
          <w:rtl/>
        </w:rPr>
        <w:t xml:space="preserve">. הסיווג לפי ענפים מתבסס על עפ"י "הסיווג האחיד של ענפי הכלכלה, </w:t>
      </w:r>
      <w:r w:rsidR="008746FE" w:rsidRPr="003E4EB9">
        <w:rPr>
          <w:rFonts w:ascii="Arial" w:hAnsi="Arial" w:hint="cs"/>
          <w:color w:val="000000" w:themeColor="text1"/>
          <w:rtl/>
        </w:rPr>
        <w:t>2011</w:t>
      </w:r>
      <w:r w:rsidR="00560664" w:rsidRPr="003E4EB9">
        <w:rPr>
          <w:rFonts w:ascii="Arial" w:hAnsi="Arial" w:hint="cs"/>
          <w:color w:val="000000" w:themeColor="text1"/>
          <w:rtl/>
        </w:rPr>
        <w:t xml:space="preserve">". </w:t>
      </w:r>
    </w:p>
    <w:p w:rsidR="00E55150" w:rsidRPr="003E4EB9" w:rsidRDefault="00141783" w:rsidP="00CA1393">
      <w:pPr>
        <w:pStyle w:val="af"/>
        <w:spacing w:line="240" w:lineRule="auto"/>
        <w:ind w:left="-1" w:right="0"/>
        <w:rPr>
          <w:rFonts w:ascii="Arial" w:hAnsi="Arial"/>
          <w:color w:val="000000" w:themeColor="text1"/>
          <w:rtl/>
        </w:rPr>
      </w:pPr>
      <w:r w:rsidRPr="003E4EB9">
        <w:rPr>
          <w:rFonts w:ascii="Arial" w:hAnsi="Arial"/>
          <w:b/>
          <w:bCs/>
          <w:color w:val="000000" w:themeColor="text1"/>
          <w:sz w:val="24"/>
          <w:rtl/>
        </w:rPr>
        <w:t>מסגרת ה</w:t>
      </w:r>
      <w:r w:rsidRPr="003E4EB9">
        <w:rPr>
          <w:rFonts w:ascii="Arial" w:hAnsi="Arial" w:hint="cs"/>
          <w:b/>
          <w:bCs/>
          <w:color w:val="000000" w:themeColor="text1"/>
          <w:sz w:val="24"/>
          <w:rtl/>
        </w:rPr>
        <w:t>ד</w:t>
      </w:r>
      <w:r w:rsidRPr="003E4EB9">
        <w:rPr>
          <w:rFonts w:ascii="Arial" w:hAnsi="Arial"/>
          <w:b/>
          <w:bCs/>
          <w:color w:val="000000" w:themeColor="text1"/>
          <w:sz w:val="24"/>
          <w:rtl/>
        </w:rPr>
        <w:t>ג</w:t>
      </w:r>
      <w:r w:rsidRPr="003E4EB9">
        <w:rPr>
          <w:rFonts w:ascii="Arial" w:hAnsi="Arial" w:hint="cs"/>
          <w:b/>
          <w:bCs/>
          <w:color w:val="000000" w:themeColor="text1"/>
          <w:sz w:val="24"/>
          <w:rtl/>
        </w:rPr>
        <w:t>ימה והמדגם</w:t>
      </w:r>
      <w:r w:rsidRPr="003E4EB9">
        <w:rPr>
          <w:rFonts w:ascii="Arial" w:hAnsi="Arial"/>
          <w:color w:val="000000" w:themeColor="text1"/>
          <w:sz w:val="24"/>
          <w:rtl/>
        </w:rPr>
        <w:t xml:space="preserve"> - </w:t>
      </w:r>
      <w:r w:rsidRPr="003E4EB9">
        <w:rPr>
          <w:rFonts w:ascii="Arial" w:hAnsi="Arial" w:hint="cs"/>
          <w:color w:val="000000" w:themeColor="text1"/>
          <w:rtl/>
        </w:rPr>
        <w:t xml:space="preserve">המקור לבניית מסגרת הדגימה היה </w:t>
      </w:r>
      <w:r w:rsidR="00AB66F1" w:rsidRPr="003E4EB9">
        <w:rPr>
          <w:rFonts w:ascii="Arial" w:hAnsi="Arial" w:hint="cs"/>
          <w:color w:val="000000" w:themeColor="text1"/>
          <w:rtl/>
        </w:rPr>
        <w:t xml:space="preserve">מאגר המידע של </w:t>
      </w:r>
      <w:r w:rsidRPr="003E4EB9">
        <w:rPr>
          <w:rFonts w:ascii="Arial" w:hAnsi="Arial" w:hint="cs"/>
          <w:color w:val="000000" w:themeColor="text1"/>
          <w:rtl/>
        </w:rPr>
        <w:t xml:space="preserve">מרשם העסקים שהוקם בלשכה המרכזית לסטטיסטיקה </w:t>
      </w:r>
      <w:r w:rsidR="00517D2F" w:rsidRPr="003E4EB9">
        <w:rPr>
          <w:rFonts w:ascii="Arial" w:hAnsi="Arial" w:hint="cs"/>
          <w:color w:val="000000" w:themeColor="text1"/>
          <w:rtl/>
        </w:rPr>
        <w:t>בשנת 2003</w:t>
      </w:r>
      <w:r w:rsidRPr="003E4EB9">
        <w:rPr>
          <w:rFonts w:ascii="Arial" w:hAnsi="Arial" w:hint="cs"/>
          <w:color w:val="000000" w:themeColor="text1"/>
          <w:rtl/>
        </w:rPr>
        <w:t xml:space="preserve">. המרשם התבסס על איחוד שני מקורות מידע מנהליים: </w:t>
      </w:r>
      <w:r w:rsidR="00AB66F1" w:rsidRPr="003E4EB9">
        <w:rPr>
          <w:rFonts w:ascii="Arial" w:hAnsi="Arial" w:hint="cs"/>
          <w:color w:val="000000" w:themeColor="text1"/>
          <w:rtl/>
        </w:rPr>
        <w:t xml:space="preserve">קובץ עוסקי מע"מ וקובץ מעסיקים של המוסד לביטוח לאומי. </w:t>
      </w:r>
      <w:r w:rsidR="00E43597" w:rsidRPr="003E4EB9">
        <w:rPr>
          <w:rFonts w:ascii="Arial" w:hAnsi="Arial" w:hint="cs"/>
          <w:color w:val="000000" w:themeColor="text1"/>
          <w:rtl/>
        </w:rPr>
        <w:t xml:space="preserve">המדגם כלל מפעלים שבהם משרת שכיר אחת לפחות. עם המעבר לסיווג החדש של ענפי הכלכלה, הוצא בשנת 2011 מדגם חדש. </w:t>
      </w:r>
      <w:r w:rsidR="00CA1393" w:rsidRPr="003E4EB9">
        <w:rPr>
          <w:rFonts w:ascii="Arial" w:hAnsi="Arial" w:hint="cs"/>
          <w:color w:val="000000" w:themeColor="text1"/>
          <w:rtl/>
        </w:rPr>
        <w:t xml:space="preserve">בדגימת מפעלי התעשייה אין התייחסות לחלוקה גיאוגרפית. כמו כן ייתכן מעבר עסקים מיישוב ליישוב, לפיכך יש להיזהר בהשוואה בין השנים.  </w:t>
      </w:r>
    </w:p>
    <w:p w:rsidR="00CA1393" w:rsidRPr="003E4EB9" w:rsidRDefault="00CA1393" w:rsidP="00200C35">
      <w:pPr>
        <w:pStyle w:val="af"/>
        <w:spacing w:line="240" w:lineRule="auto"/>
        <w:ind w:left="-1" w:right="0"/>
        <w:rPr>
          <w:rFonts w:ascii="Arial" w:hAnsi="Arial"/>
          <w:color w:val="000000" w:themeColor="text1"/>
          <w:rtl/>
        </w:rPr>
      </w:pPr>
    </w:p>
    <w:p w:rsidR="00E43597" w:rsidRPr="003E4EB9" w:rsidRDefault="00EE35C2" w:rsidP="00200C35">
      <w:pPr>
        <w:pStyle w:val="af"/>
        <w:spacing w:line="240" w:lineRule="auto"/>
        <w:ind w:left="-1" w:right="0"/>
        <w:rPr>
          <w:rFonts w:ascii="Arial" w:hAnsi="Arial"/>
          <w:b/>
          <w:bCs/>
          <w:color w:val="000000" w:themeColor="text1"/>
          <w:sz w:val="24"/>
          <w:rtl/>
        </w:rPr>
      </w:pPr>
      <w:r w:rsidRPr="003E4EB9">
        <w:rPr>
          <w:rFonts w:ascii="Arial" w:hAnsi="Arial" w:hint="cs"/>
          <w:b/>
          <w:bCs/>
          <w:color w:val="000000" w:themeColor="text1"/>
          <w:sz w:val="24"/>
          <w:rtl/>
        </w:rPr>
        <w:t xml:space="preserve">הנתונים המוצגים בלוחות כוללים את ענפי התעשייה בלבד (סדר </w:t>
      </w:r>
      <w:r w:rsidRPr="003E4EB9">
        <w:rPr>
          <w:rFonts w:ascii="Arial" w:hAnsi="Arial"/>
          <w:b/>
          <w:bCs/>
          <w:color w:val="000000" w:themeColor="text1"/>
          <w:szCs w:val="20"/>
        </w:rPr>
        <w:t>C</w:t>
      </w:r>
      <w:r w:rsidRPr="003E4EB9">
        <w:rPr>
          <w:rFonts w:ascii="Arial" w:hAnsi="Arial" w:hint="cs"/>
          <w:b/>
          <w:bCs/>
          <w:color w:val="000000" w:themeColor="text1"/>
          <w:sz w:val="24"/>
          <w:rtl/>
        </w:rPr>
        <w:t xml:space="preserve">) ללא ענפי הכרייה והחציבה (סדר </w:t>
      </w:r>
      <w:r w:rsidRPr="003E4EB9">
        <w:rPr>
          <w:rFonts w:ascii="Arial" w:hAnsi="Arial"/>
          <w:b/>
          <w:bCs/>
          <w:color w:val="000000" w:themeColor="text1"/>
          <w:szCs w:val="20"/>
        </w:rPr>
        <w:t>B</w:t>
      </w:r>
      <w:r w:rsidRPr="003E4EB9">
        <w:rPr>
          <w:rFonts w:ascii="Arial" w:hAnsi="Arial" w:hint="cs"/>
          <w:b/>
          <w:bCs/>
          <w:color w:val="000000" w:themeColor="text1"/>
          <w:sz w:val="24"/>
          <w:rtl/>
        </w:rPr>
        <w:t xml:space="preserve">). </w:t>
      </w:r>
    </w:p>
    <w:tbl>
      <w:tblPr>
        <w:bidiVisual/>
        <w:tblW w:w="8730" w:type="dxa"/>
        <w:tblInd w:w="108" w:type="dxa"/>
        <w:tblLayout w:type="fixed"/>
        <w:tblCellMar>
          <w:top w:w="142" w:type="dxa"/>
        </w:tblCellMar>
        <w:tblLook w:val="01E0" w:firstRow="1" w:lastRow="1" w:firstColumn="1" w:lastColumn="1" w:noHBand="0" w:noVBand="0"/>
        <w:tblCaption w:val="לוחות 16-13: הלמ&quot;ס, סקר התעשייה"/>
      </w:tblPr>
      <w:tblGrid>
        <w:gridCol w:w="2209"/>
        <w:gridCol w:w="6521"/>
      </w:tblGrid>
      <w:tr w:rsidR="003E4EB9" w:rsidRPr="003E4EB9" w:rsidTr="00CC5A8D">
        <w:tc>
          <w:tcPr>
            <w:tcW w:w="2209" w:type="dxa"/>
          </w:tcPr>
          <w:p w:rsidR="00681B55" w:rsidRPr="003E4EB9" w:rsidRDefault="00681B55" w:rsidP="00200C35">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מפעל</w:t>
            </w:r>
          </w:p>
        </w:tc>
        <w:tc>
          <w:tcPr>
            <w:tcW w:w="6521" w:type="dxa"/>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color w:val="000000" w:themeColor="text1"/>
                <w:sz w:val="24"/>
                <w:szCs w:val="24"/>
                <w:rtl/>
              </w:rPr>
              <w:t>מוגדר כיחידה כלכלית</w:t>
            </w:r>
            <w:r w:rsidRPr="003E4EB9">
              <w:rPr>
                <w:rFonts w:hint="cs"/>
                <w:color w:val="000000" w:themeColor="text1"/>
                <w:sz w:val="24"/>
                <w:szCs w:val="24"/>
                <w:rtl/>
              </w:rPr>
              <w:t xml:space="preserve"> הנמצאת במקום אחד, מבצעת פעולה תעשייתית אחת ומנהלת חשבונות נפרדים. מחלקה של חברה, שהיא יחידה יצרנית בפני עצמה, נחשבת כמפעל נפרד. </w:t>
            </w:r>
            <w:r w:rsidRPr="003E4EB9">
              <w:rPr>
                <w:color w:val="000000" w:themeColor="text1"/>
                <w:sz w:val="24"/>
                <w:szCs w:val="24"/>
                <w:rtl/>
              </w:rPr>
              <w:t xml:space="preserve"> </w:t>
            </w:r>
          </w:p>
        </w:tc>
      </w:tr>
      <w:tr w:rsidR="003E4EB9" w:rsidRPr="003E4EB9" w:rsidTr="00CC5A8D">
        <w:trPr>
          <w:trHeight w:val="274"/>
        </w:trPr>
        <w:tc>
          <w:tcPr>
            <w:tcW w:w="2209" w:type="dxa"/>
          </w:tcPr>
          <w:p w:rsidR="00681B55" w:rsidRPr="003E4EB9" w:rsidRDefault="00681B55" w:rsidP="00200C35">
            <w:pPr>
              <w:spacing w:before="80"/>
              <w:rPr>
                <w:rFonts w:ascii="Arial" w:hAnsi="Arial" w:cs="David"/>
                <w:b/>
                <w:bCs/>
                <w:color w:val="000000" w:themeColor="text1"/>
                <w:spacing w:val="4"/>
                <w:sz w:val="24"/>
                <w:szCs w:val="24"/>
                <w:rtl/>
              </w:rPr>
            </w:pPr>
            <w:r w:rsidRPr="003E4EB9">
              <w:rPr>
                <w:rFonts w:ascii="Arial" w:hAnsi="Arial" w:cs="David" w:hint="cs"/>
                <w:b/>
                <w:bCs/>
                <w:color w:val="000000" w:themeColor="text1"/>
                <w:spacing w:val="4"/>
                <w:sz w:val="24"/>
                <w:szCs w:val="24"/>
                <w:rtl/>
              </w:rPr>
              <w:t>משרות</w:t>
            </w:r>
          </w:p>
        </w:tc>
        <w:tc>
          <w:tcPr>
            <w:tcW w:w="6521" w:type="dxa"/>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 xml:space="preserve">משרות </w:t>
            </w:r>
            <w:r w:rsidRPr="003E4EB9">
              <w:rPr>
                <w:color w:val="000000" w:themeColor="text1"/>
                <w:sz w:val="24"/>
                <w:szCs w:val="24"/>
                <w:rtl/>
              </w:rPr>
              <w:t xml:space="preserve">שכיר, </w:t>
            </w:r>
            <w:r w:rsidRPr="003E4EB9">
              <w:rPr>
                <w:rFonts w:hint="cs"/>
                <w:color w:val="000000" w:themeColor="text1"/>
                <w:sz w:val="24"/>
                <w:szCs w:val="24"/>
                <w:rtl/>
              </w:rPr>
              <w:t xml:space="preserve">משרות לא-שכיר, </w:t>
            </w:r>
            <w:r w:rsidRPr="003E4EB9">
              <w:rPr>
                <w:color w:val="000000" w:themeColor="text1"/>
                <w:sz w:val="24"/>
                <w:szCs w:val="24"/>
                <w:rtl/>
              </w:rPr>
              <w:t xml:space="preserve">בעלים </w:t>
            </w:r>
            <w:r w:rsidRPr="003E4EB9">
              <w:rPr>
                <w:rFonts w:hint="cs"/>
                <w:color w:val="000000" w:themeColor="text1"/>
                <w:sz w:val="24"/>
                <w:szCs w:val="24"/>
                <w:rtl/>
              </w:rPr>
              <w:t>ובני משפחה העובדים</w:t>
            </w:r>
            <w:r w:rsidRPr="003E4EB9">
              <w:rPr>
                <w:color w:val="000000" w:themeColor="text1"/>
                <w:sz w:val="24"/>
                <w:szCs w:val="24"/>
                <w:rtl/>
              </w:rPr>
              <w:t xml:space="preserve"> ללא שכר</w:t>
            </w:r>
            <w:r w:rsidRPr="003E4EB9">
              <w:rPr>
                <w:rFonts w:hint="cs"/>
                <w:color w:val="000000" w:themeColor="text1"/>
                <w:sz w:val="24"/>
                <w:szCs w:val="24"/>
                <w:rtl/>
              </w:rPr>
              <w:t>.</w:t>
            </w:r>
          </w:p>
          <w:p w:rsidR="00681B55" w:rsidRPr="003E4EB9" w:rsidRDefault="00681B55" w:rsidP="00CC5A8D">
            <w:pPr>
              <w:spacing w:line="80" w:lineRule="exact"/>
              <w:ind w:left="142" w:hanging="142"/>
              <w:jc w:val="both"/>
              <w:rPr>
                <w:rFonts w:ascii="Arial" w:hAnsi="Arial" w:cs="David"/>
                <w:color w:val="000000" w:themeColor="text1"/>
                <w:sz w:val="24"/>
                <w:szCs w:val="24"/>
                <w:rtl/>
              </w:rPr>
            </w:pPr>
          </w:p>
        </w:tc>
      </w:tr>
      <w:tr w:rsidR="003E4EB9" w:rsidRPr="003E4EB9" w:rsidTr="00CC5A8D">
        <w:tc>
          <w:tcPr>
            <w:tcW w:w="2209" w:type="dxa"/>
          </w:tcPr>
          <w:p w:rsidR="00681B55" w:rsidRPr="003E4EB9" w:rsidRDefault="00681B55" w:rsidP="00200C35">
            <w:pPr>
              <w:spacing w:before="80"/>
              <w:rPr>
                <w:rFonts w:ascii="Arial" w:hAnsi="Arial" w:cs="David"/>
                <w:b/>
                <w:bCs/>
                <w:color w:val="000000" w:themeColor="text1"/>
                <w:spacing w:val="4"/>
                <w:sz w:val="24"/>
                <w:szCs w:val="24"/>
                <w:rtl/>
              </w:rPr>
            </w:pPr>
            <w:bookmarkStart w:id="0" w:name="_GoBack"/>
            <w:r w:rsidRPr="003E4EB9">
              <w:rPr>
                <w:rFonts w:ascii="Arial" w:hAnsi="Arial" w:cs="David" w:hint="cs"/>
                <w:b/>
                <w:bCs/>
                <w:color w:val="000000" w:themeColor="text1"/>
                <w:spacing w:val="4"/>
                <w:sz w:val="24"/>
                <w:szCs w:val="24"/>
                <w:rtl/>
              </w:rPr>
              <w:t>תמורה למשרה</w:t>
            </w:r>
          </w:p>
        </w:tc>
        <w:tc>
          <w:tcPr>
            <w:tcW w:w="6521" w:type="dxa"/>
            <w:tcMar>
              <w:top w:w="113" w:type="dxa"/>
            </w:tcMar>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כוללת את ההוצאה לשכר ולמשכורת והוצאות נלוות לשכר ולמשכורת (הגדרה זו כוללת את סך התמורה למשרה והיא שונה מעלות העבודה המדווחת במסגרת מדדים חודשיים, מאחר ובדוחות הכספיים של המפעלים נכללים תשלומי בונוסים, מענקים והפרשות, שלא דווחו בנתונים חודשיים).</w:t>
            </w:r>
          </w:p>
          <w:p w:rsidR="00681B55" w:rsidRPr="003E4EB9" w:rsidRDefault="00681B55" w:rsidP="00CC5A8D">
            <w:pPr>
              <w:pStyle w:val="21"/>
              <w:spacing w:before="0" w:line="-60" w:lineRule="auto"/>
              <w:ind w:left="142" w:right="0" w:hanging="142"/>
              <w:rPr>
                <w:rFonts w:ascii="Arial" w:hAnsi="Arial"/>
                <w:color w:val="000000" w:themeColor="text1"/>
                <w:sz w:val="24"/>
                <w:rtl/>
                <w:lang w:eastAsia="en-US"/>
              </w:rPr>
            </w:pPr>
          </w:p>
        </w:tc>
      </w:tr>
      <w:bookmarkEnd w:id="0"/>
      <w:tr w:rsidR="003E4EB9" w:rsidRPr="003E4EB9" w:rsidTr="00CC5A8D">
        <w:trPr>
          <w:trHeight w:val="12"/>
        </w:trPr>
        <w:tc>
          <w:tcPr>
            <w:tcW w:w="2209" w:type="dxa"/>
          </w:tcPr>
          <w:p w:rsidR="00681B55" w:rsidRPr="003E4EB9" w:rsidRDefault="00681B55" w:rsidP="00200C35">
            <w:pPr>
              <w:spacing w:before="80"/>
              <w:rPr>
                <w:rFonts w:ascii="Arial" w:hAnsi="Arial" w:cs="David"/>
                <w:b/>
                <w:bCs/>
                <w:color w:val="000000" w:themeColor="text1"/>
                <w:sz w:val="24"/>
                <w:szCs w:val="24"/>
                <w:rtl/>
              </w:rPr>
            </w:pPr>
            <w:r w:rsidRPr="003E4EB9">
              <w:rPr>
                <w:rFonts w:ascii="Arial" w:hAnsi="Arial" w:cs="David" w:hint="cs"/>
                <w:b/>
                <w:bCs/>
                <w:color w:val="000000" w:themeColor="text1"/>
                <w:sz w:val="24"/>
                <w:szCs w:val="24"/>
                <w:rtl/>
              </w:rPr>
              <w:t>פדיון</w:t>
            </w:r>
          </w:p>
        </w:tc>
        <w:tc>
          <w:tcPr>
            <w:tcW w:w="6521" w:type="dxa"/>
            <w:tcMar>
              <w:top w:w="113" w:type="dxa"/>
            </w:tcMar>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ערך המכירות לשוק המקומי, מכירות ליצוא, הכנסות מעבודות ותיקונים והכנסות מייצור מוצרים לשימוש עצמי. הפדיון כולל גם פעילות לא תעשייתית (ללא רווחי הון), סובסידיות ותמריצי יצוא ואינו כולל מיסים (מס קנייה ומס ערך מוסף).</w:t>
            </w:r>
          </w:p>
        </w:tc>
      </w:tr>
      <w:tr w:rsidR="003E4EB9" w:rsidRPr="003E4EB9" w:rsidTr="00CC5A8D">
        <w:tc>
          <w:tcPr>
            <w:tcW w:w="2209" w:type="dxa"/>
          </w:tcPr>
          <w:p w:rsidR="00681B55" w:rsidRPr="003E4EB9" w:rsidRDefault="00681B55" w:rsidP="00200C35">
            <w:pPr>
              <w:spacing w:before="80"/>
              <w:rPr>
                <w:rFonts w:ascii="Arial" w:hAnsi="Arial" w:cs="David"/>
                <w:b/>
                <w:bCs/>
                <w:color w:val="000000" w:themeColor="text1"/>
                <w:sz w:val="24"/>
                <w:szCs w:val="24"/>
                <w:rtl/>
              </w:rPr>
            </w:pPr>
            <w:r w:rsidRPr="003E4EB9">
              <w:rPr>
                <w:rFonts w:ascii="Arial" w:hAnsi="Arial" w:cs="David" w:hint="cs"/>
                <w:b/>
                <w:bCs/>
                <w:color w:val="000000" w:themeColor="text1"/>
                <w:sz w:val="24"/>
                <w:szCs w:val="24"/>
                <w:rtl/>
              </w:rPr>
              <w:t>תפוקה גולמית</w:t>
            </w:r>
          </w:p>
        </w:tc>
        <w:tc>
          <w:tcPr>
            <w:tcW w:w="6521" w:type="dxa"/>
            <w:tcMar>
              <w:top w:w="113" w:type="dxa"/>
            </w:tcMar>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color w:val="000000" w:themeColor="text1"/>
                <w:sz w:val="24"/>
                <w:szCs w:val="24"/>
                <w:rtl/>
              </w:rPr>
              <w:t>מוגדרת כ</w:t>
            </w:r>
            <w:r w:rsidRPr="003E4EB9">
              <w:rPr>
                <w:rFonts w:hint="cs"/>
                <w:color w:val="000000" w:themeColor="text1"/>
                <w:sz w:val="24"/>
                <w:szCs w:val="24"/>
                <w:rtl/>
              </w:rPr>
              <w:t>סך הפדיון</w:t>
            </w:r>
            <w:r w:rsidRPr="003E4EB9">
              <w:rPr>
                <w:color w:val="000000" w:themeColor="text1"/>
                <w:sz w:val="24"/>
                <w:szCs w:val="24"/>
                <w:rtl/>
              </w:rPr>
              <w:t xml:space="preserve">, בתוספת </w:t>
            </w:r>
            <w:r w:rsidRPr="003E4EB9">
              <w:rPr>
                <w:rFonts w:hint="cs"/>
                <w:color w:val="000000" w:themeColor="text1"/>
                <w:sz w:val="24"/>
                <w:szCs w:val="24"/>
                <w:rtl/>
              </w:rPr>
              <w:t>ערך השינוי</w:t>
            </w:r>
            <w:r w:rsidRPr="003E4EB9">
              <w:rPr>
                <w:color w:val="000000" w:themeColor="text1"/>
                <w:sz w:val="24"/>
                <w:szCs w:val="24"/>
                <w:rtl/>
              </w:rPr>
              <w:t xml:space="preserve"> במלאי </w:t>
            </w:r>
            <w:r w:rsidRPr="003E4EB9">
              <w:rPr>
                <w:rFonts w:hint="cs"/>
                <w:color w:val="000000" w:themeColor="text1"/>
                <w:sz w:val="24"/>
                <w:szCs w:val="24"/>
                <w:rtl/>
              </w:rPr>
              <w:t xml:space="preserve">של </w:t>
            </w:r>
            <w:r w:rsidRPr="003E4EB9">
              <w:rPr>
                <w:color w:val="000000" w:themeColor="text1"/>
                <w:sz w:val="24"/>
                <w:szCs w:val="24"/>
                <w:rtl/>
              </w:rPr>
              <w:t>מוצרים גמורים ו</w:t>
            </w:r>
            <w:r w:rsidRPr="003E4EB9">
              <w:rPr>
                <w:rFonts w:hint="cs"/>
                <w:color w:val="000000" w:themeColor="text1"/>
                <w:sz w:val="24"/>
                <w:szCs w:val="24"/>
                <w:rtl/>
              </w:rPr>
              <w:t>בלתי</w:t>
            </w:r>
            <w:r w:rsidRPr="003E4EB9">
              <w:rPr>
                <w:color w:val="000000" w:themeColor="text1"/>
                <w:sz w:val="24"/>
                <w:szCs w:val="24"/>
                <w:rtl/>
              </w:rPr>
              <w:t xml:space="preserve"> גמורים</w:t>
            </w:r>
            <w:r w:rsidRPr="003E4EB9">
              <w:rPr>
                <w:rFonts w:hint="cs"/>
                <w:color w:val="000000" w:themeColor="text1"/>
                <w:sz w:val="24"/>
                <w:szCs w:val="24"/>
                <w:rtl/>
              </w:rPr>
              <w:t>, ובניכוי ערך הסחורות שנקנו ולא עברו תהליך עיבוד</w:t>
            </w:r>
            <w:r w:rsidRPr="003E4EB9">
              <w:rPr>
                <w:color w:val="000000" w:themeColor="text1"/>
                <w:sz w:val="24"/>
                <w:szCs w:val="24"/>
                <w:rtl/>
              </w:rPr>
              <w:t>.</w:t>
            </w:r>
          </w:p>
          <w:p w:rsidR="00681B55" w:rsidRPr="003E4EB9" w:rsidRDefault="00681B55" w:rsidP="00CC5A8D">
            <w:pPr>
              <w:pStyle w:val="af0"/>
              <w:ind w:left="142"/>
              <w:jc w:val="both"/>
              <w:rPr>
                <w:color w:val="000000" w:themeColor="text1"/>
                <w:sz w:val="24"/>
                <w:szCs w:val="24"/>
                <w:rtl/>
              </w:rPr>
            </w:pPr>
          </w:p>
        </w:tc>
      </w:tr>
      <w:tr w:rsidR="003E4EB9" w:rsidRPr="003E4EB9" w:rsidTr="00CC5A8D">
        <w:tc>
          <w:tcPr>
            <w:tcW w:w="2209" w:type="dxa"/>
          </w:tcPr>
          <w:p w:rsidR="00681B55" w:rsidRPr="003E4EB9" w:rsidRDefault="00681B55" w:rsidP="00200C35">
            <w:pPr>
              <w:spacing w:before="80"/>
              <w:rPr>
                <w:rFonts w:ascii="Arial" w:hAnsi="Arial" w:cs="David"/>
                <w:b/>
                <w:bCs/>
                <w:color w:val="000000" w:themeColor="text1"/>
                <w:sz w:val="24"/>
                <w:szCs w:val="24"/>
                <w:rtl/>
              </w:rPr>
            </w:pPr>
            <w:r w:rsidRPr="003E4EB9">
              <w:rPr>
                <w:rFonts w:ascii="Arial" w:hAnsi="Arial" w:cs="David" w:hint="cs"/>
                <w:b/>
                <w:bCs/>
                <w:color w:val="000000" w:themeColor="text1"/>
                <w:sz w:val="24"/>
                <w:szCs w:val="24"/>
                <w:rtl/>
              </w:rPr>
              <w:t>תשומות</w:t>
            </w:r>
          </w:p>
        </w:tc>
        <w:tc>
          <w:tcPr>
            <w:tcW w:w="6521" w:type="dxa"/>
            <w:tcMar>
              <w:top w:w="113" w:type="dxa"/>
            </w:tcMar>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כולל את צריכת חומרי הגלם, חומרי עזר, מים, חשמל וכו', וכן תשומות אחרות בתהליך הייצור כגון עלות עבודה קבלנית, אחזקה ותיקון ציוד וכו' וכן הוצאות כלליות נטו.</w:t>
            </w:r>
          </w:p>
          <w:p w:rsidR="00681B55" w:rsidRPr="003E4EB9" w:rsidRDefault="00681B55" w:rsidP="00CC5A8D">
            <w:pPr>
              <w:jc w:val="both"/>
              <w:rPr>
                <w:color w:val="000000" w:themeColor="text1"/>
                <w:sz w:val="24"/>
                <w:szCs w:val="24"/>
                <w:rtl/>
              </w:rPr>
            </w:pPr>
          </w:p>
        </w:tc>
      </w:tr>
      <w:tr w:rsidR="003E4EB9" w:rsidRPr="003E4EB9" w:rsidTr="00CC5A8D">
        <w:tc>
          <w:tcPr>
            <w:tcW w:w="2209" w:type="dxa"/>
          </w:tcPr>
          <w:p w:rsidR="00681B55" w:rsidRPr="003E4EB9" w:rsidRDefault="00681B55" w:rsidP="00200C35">
            <w:pPr>
              <w:spacing w:before="80"/>
              <w:rPr>
                <w:rFonts w:ascii="Arial" w:hAnsi="Arial" w:cs="David"/>
                <w:b/>
                <w:bCs/>
                <w:color w:val="000000" w:themeColor="text1"/>
                <w:sz w:val="24"/>
                <w:szCs w:val="24"/>
                <w:rtl/>
              </w:rPr>
            </w:pPr>
            <w:r w:rsidRPr="003E4EB9">
              <w:rPr>
                <w:rFonts w:ascii="Arial" w:hAnsi="Arial" w:cs="David" w:hint="cs"/>
                <w:b/>
                <w:bCs/>
                <w:color w:val="000000" w:themeColor="text1"/>
                <w:sz w:val="24"/>
                <w:szCs w:val="24"/>
                <w:rtl/>
              </w:rPr>
              <w:t>ערך מוסף גולמי (בעבר הופיע בשם תוצר מקומי גולמי)</w:t>
            </w:r>
          </w:p>
        </w:tc>
        <w:tc>
          <w:tcPr>
            <w:tcW w:w="6521" w:type="dxa"/>
            <w:tcMar>
              <w:top w:w="113" w:type="dxa"/>
            </w:tcMar>
          </w:tcPr>
          <w:p w:rsidR="00681B55" w:rsidRPr="003E4EB9" w:rsidRDefault="00681B55" w:rsidP="00CC5A8D">
            <w:pPr>
              <w:pStyle w:val="af0"/>
              <w:numPr>
                <w:ilvl w:val="0"/>
                <w:numId w:val="12"/>
              </w:numPr>
              <w:ind w:left="142" w:hanging="142"/>
              <w:jc w:val="both"/>
              <w:rPr>
                <w:color w:val="000000" w:themeColor="text1"/>
                <w:sz w:val="24"/>
                <w:szCs w:val="24"/>
                <w:rtl/>
              </w:rPr>
            </w:pPr>
            <w:r w:rsidRPr="003E4EB9">
              <w:rPr>
                <w:rFonts w:hint="cs"/>
                <w:color w:val="000000" w:themeColor="text1"/>
                <w:sz w:val="24"/>
                <w:szCs w:val="24"/>
                <w:rtl/>
              </w:rPr>
              <w:t xml:space="preserve">מוגדר כהפרש בין התפוקה הגולמית לבין סך התשומות. </w:t>
            </w:r>
          </w:p>
        </w:tc>
      </w:tr>
    </w:tbl>
    <w:p w:rsidR="006C2E32" w:rsidRPr="003E4EB9" w:rsidRDefault="00E44D56" w:rsidP="00200C35">
      <w:pPr>
        <w:spacing w:before="360"/>
        <w:jc w:val="both"/>
        <w:rPr>
          <w:rFonts w:ascii="Arial" w:hAnsi="Arial" w:cs="David"/>
          <w:color w:val="000000" w:themeColor="text1"/>
          <w:spacing w:val="2"/>
          <w:sz w:val="24"/>
          <w:szCs w:val="24"/>
          <w:rtl/>
        </w:rPr>
      </w:pPr>
      <w:r w:rsidRPr="003E4EB9">
        <w:rPr>
          <w:rFonts w:ascii="Arial" w:hAnsi="Arial" w:cs="David" w:hint="cs"/>
          <w:color w:val="000000" w:themeColor="text1"/>
          <w:spacing w:val="2"/>
          <w:sz w:val="24"/>
          <w:szCs w:val="24"/>
          <w:rtl/>
        </w:rPr>
        <w:t xml:space="preserve">יש לציין כי </w:t>
      </w:r>
      <w:r w:rsidR="006C2E32" w:rsidRPr="003E4EB9">
        <w:rPr>
          <w:rFonts w:ascii="Arial" w:hAnsi="Arial" w:cs="David"/>
          <w:color w:val="000000" w:themeColor="text1"/>
          <w:spacing w:val="2"/>
          <w:sz w:val="24"/>
          <w:szCs w:val="24"/>
          <w:rtl/>
        </w:rPr>
        <w:t xml:space="preserve">הנתונים על </w:t>
      </w:r>
      <w:r w:rsidR="006C2E32" w:rsidRPr="003E4EB9">
        <w:rPr>
          <w:rFonts w:ascii="Arial" w:hAnsi="Arial" w:cs="David" w:hint="cs"/>
          <w:color w:val="000000" w:themeColor="text1"/>
          <w:spacing w:val="2"/>
          <w:sz w:val="24"/>
          <w:szCs w:val="24"/>
          <w:rtl/>
        </w:rPr>
        <w:t xml:space="preserve">תשומות, פדיון, </w:t>
      </w:r>
      <w:r w:rsidR="006C2E32" w:rsidRPr="003E4EB9">
        <w:rPr>
          <w:rFonts w:ascii="Arial" w:hAnsi="Arial" w:cs="David"/>
          <w:color w:val="000000" w:themeColor="text1"/>
          <w:spacing w:val="2"/>
          <w:sz w:val="24"/>
          <w:szCs w:val="24"/>
          <w:rtl/>
        </w:rPr>
        <w:t xml:space="preserve">תפוקה גולמית </w:t>
      </w:r>
      <w:r w:rsidR="006C2E32" w:rsidRPr="003E4EB9">
        <w:rPr>
          <w:rFonts w:ascii="Arial" w:hAnsi="Arial" w:cs="David" w:hint="cs"/>
          <w:color w:val="000000" w:themeColor="text1"/>
          <w:spacing w:val="2"/>
          <w:sz w:val="24"/>
          <w:szCs w:val="24"/>
          <w:rtl/>
        </w:rPr>
        <w:t>וערך מוסף</w:t>
      </w:r>
      <w:r w:rsidR="006C2E32" w:rsidRPr="003E4EB9">
        <w:rPr>
          <w:rFonts w:ascii="Arial" w:hAnsi="Arial" w:cs="David"/>
          <w:color w:val="000000" w:themeColor="text1"/>
          <w:spacing w:val="2"/>
          <w:sz w:val="24"/>
          <w:szCs w:val="24"/>
          <w:rtl/>
        </w:rPr>
        <w:t xml:space="preserve"> גולמי ניתנים במחירי </w:t>
      </w:r>
      <w:r w:rsidR="006C2E32" w:rsidRPr="003E4EB9">
        <w:rPr>
          <w:rFonts w:ascii="Arial" w:hAnsi="Arial" w:cs="David" w:hint="cs"/>
          <w:color w:val="000000" w:themeColor="text1"/>
          <w:spacing w:val="2"/>
          <w:sz w:val="24"/>
          <w:szCs w:val="24"/>
          <w:rtl/>
        </w:rPr>
        <w:t>בסיס</w:t>
      </w:r>
      <w:r w:rsidR="00F20258" w:rsidRPr="003E4EB9">
        <w:rPr>
          <w:rFonts w:ascii="Arial" w:hAnsi="Arial" w:cs="David" w:hint="cs"/>
          <w:color w:val="000000" w:themeColor="text1"/>
          <w:spacing w:val="2"/>
          <w:sz w:val="24"/>
          <w:szCs w:val="24"/>
          <w:rtl/>
        </w:rPr>
        <w:t xml:space="preserve">, </w:t>
      </w:r>
      <w:r w:rsidR="006C2E32" w:rsidRPr="003E4EB9">
        <w:rPr>
          <w:rFonts w:ascii="Arial" w:hAnsi="Arial" w:cs="David" w:hint="cs"/>
          <w:color w:val="000000" w:themeColor="text1"/>
          <w:spacing w:val="2"/>
          <w:sz w:val="24"/>
          <w:szCs w:val="24"/>
          <w:rtl/>
        </w:rPr>
        <w:t>כלומר</w:t>
      </w:r>
      <w:r w:rsidR="006C2E32" w:rsidRPr="003E4EB9">
        <w:rPr>
          <w:rFonts w:ascii="Arial" w:hAnsi="Arial" w:cs="David"/>
          <w:color w:val="000000" w:themeColor="text1"/>
          <w:spacing w:val="2"/>
          <w:sz w:val="24"/>
          <w:szCs w:val="24"/>
          <w:rtl/>
        </w:rPr>
        <w:t xml:space="preserve"> ללא מסים וכולל סובסידיות והטבות ליצוא.</w:t>
      </w:r>
    </w:p>
    <w:sectPr w:rsidR="006C2E32" w:rsidRPr="003E4EB9" w:rsidSect="009259F6">
      <w:footerReference w:type="even" r:id="rId11"/>
      <w:pgSz w:w="11907" w:h="16840"/>
      <w:pgMar w:top="1134" w:right="1701" w:bottom="1985" w:left="1560" w:header="720" w:footer="1701" w:gutter="0"/>
      <w:pgNumType w:start="295"/>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13F" w:rsidRDefault="0080513F">
      <w:r>
        <w:separator/>
      </w:r>
    </w:p>
  </w:endnote>
  <w:endnote w:type="continuationSeparator" w:id="0">
    <w:p w:rsidR="0080513F" w:rsidRDefault="00805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Blender">
    <w:panose1 w:val="02020003050405020304"/>
    <w:charset w:val="00"/>
    <w:family w:val="roman"/>
    <w:notTrueType/>
    <w:pitch w:val="variable"/>
    <w:sig w:usb0="80000827" w:usb1="5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F96" w:rsidRDefault="005B6F96">
    <w:pPr>
      <w:pStyle w:val="a8"/>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separate"/>
    </w:r>
    <w:r>
      <w:rPr>
        <w:rStyle w:val="a9"/>
        <w:noProof/>
        <w:rtl/>
      </w:rPr>
      <w:t>172</w:t>
    </w:r>
    <w:r>
      <w:rPr>
        <w:rStyle w:val="a9"/>
        <w:rtl/>
      </w:rPr>
      <w:fldChar w:fldCharType="end"/>
    </w:r>
  </w:p>
  <w:p w:rsidR="005B6F96" w:rsidRDefault="005B6F96">
    <w:pPr>
      <w:pStyle w:val="a8"/>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13F" w:rsidRDefault="0080513F">
      <w:r>
        <w:separator/>
      </w:r>
    </w:p>
  </w:footnote>
  <w:footnote w:type="continuationSeparator" w:id="0">
    <w:p w:rsidR="0080513F" w:rsidRDefault="00805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E02E8"/>
    <w:multiLevelType w:val="hybridMultilevel"/>
    <w:tmpl w:val="B022BD98"/>
    <w:lvl w:ilvl="0" w:tplc="6A2A5F1C">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 w15:restartNumberingAfterBreak="0">
    <w:nsid w:val="09651F5A"/>
    <w:multiLevelType w:val="hybridMultilevel"/>
    <w:tmpl w:val="DA0E0592"/>
    <w:lvl w:ilvl="0" w:tplc="ADFC18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77DCA"/>
    <w:multiLevelType w:val="hybridMultilevel"/>
    <w:tmpl w:val="1D38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6905"/>
    <w:multiLevelType w:val="hybridMultilevel"/>
    <w:tmpl w:val="422CFB82"/>
    <w:lvl w:ilvl="0" w:tplc="ADFC18E2">
      <w:start w:val="1"/>
      <w:numFmt w:val="bullet"/>
      <w:lvlText w:val=""/>
      <w:lvlJc w:val="left"/>
      <w:pPr>
        <w:ind w:left="801" w:hanging="360"/>
      </w:pPr>
      <w:rPr>
        <w:rFonts w:ascii="Symbol" w:hAnsi="Symbol"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4" w15:restartNumberingAfterBreak="0">
    <w:nsid w:val="34153EA9"/>
    <w:multiLevelType w:val="hybridMultilevel"/>
    <w:tmpl w:val="1CF40066"/>
    <w:lvl w:ilvl="0" w:tplc="805259C8">
      <w:numFmt w:val="bullet"/>
      <w:lvlText w:val="-"/>
      <w:lvlJc w:val="left"/>
      <w:pPr>
        <w:ind w:left="663" w:hanging="360"/>
      </w:pPr>
      <w:rPr>
        <w:rFonts w:ascii="Arial" w:eastAsiaTheme="minorHAnsi" w:hAnsi="Arial" w:cs="David" w:hint="default"/>
        <w:color w:val="auto"/>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5" w15:restartNumberingAfterBreak="0">
    <w:nsid w:val="398448A7"/>
    <w:multiLevelType w:val="hybridMultilevel"/>
    <w:tmpl w:val="EBF80B92"/>
    <w:lvl w:ilvl="0" w:tplc="A9E08AB2">
      <w:numFmt w:val="bullet"/>
      <w:lvlText w:val="-"/>
      <w:lvlJc w:val="left"/>
      <w:pPr>
        <w:ind w:left="1440" w:hanging="360"/>
      </w:pPr>
      <w:rPr>
        <w:rFonts w:ascii="Arial" w:eastAsia="Times New Roman" w:hAnsi="Aria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54637E"/>
    <w:multiLevelType w:val="hybridMultilevel"/>
    <w:tmpl w:val="7A801F08"/>
    <w:lvl w:ilvl="0" w:tplc="ADFC18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D5786"/>
    <w:multiLevelType w:val="hybridMultilevel"/>
    <w:tmpl w:val="D9925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B4144F"/>
    <w:multiLevelType w:val="hybridMultilevel"/>
    <w:tmpl w:val="9BE655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0DC4474"/>
    <w:multiLevelType w:val="hybridMultilevel"/>
    <w:tmpl w:val="A5BEE8AE"/>
    <w:lvl w:ilvl="0" w:tplc="E4D8F1E6">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4D2B4B"/>
    <w:multiLevelType w:val="hybridMultilevel"/>
    <w:tmpl w:val="4A66BEF6"/>
    <w:lvl w:ilvl="0" w:tplc="6C662274">
      <w:start w:val="1"/>
      <w:numFmt w:val="bullet"/>
      <w:lvlText w:val=""/>
      <w:lvlJc w:val="left"/>
      <w:pPr>
        <w:ind w:left="801" w:hanging="360"/>
      </w:pPr>
      <w:rPr>
        <w:rFonts w:ascii="Symbol" w:hAnsi="Symbol" w:hint="default"/>
        <w:lang w:bidi="he-IL"/>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11" w15:restartNumberingAfterBreak="0">
    <w:nsid w:val="55FF70D7"/>
    <w:multiLevelType w:val="hybridMultilevel"/>
    <w:tmpl w:val="58D8F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EAE0366"/>
    <w:multiLevelType w:val="hybridMultilevel"/>
    <w:tmpl w:val="27FA0A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6834984"/>
    <w:multiLevelType w:val="singleLevel"/>
    <w:tmpl w:val="0C22CC5C"/>
    <w:lvl w:ilvl="0">
      <w:start w:val="1"/>
      <w:numFmt w:val="upperRoman"/>
      <w:lvlText w:val="%1."/>
      <w:lvlJc w:val="left"/>
      <w:pPr>
        <w:tabs>
          <w:tab w:val="num" w:pos="360"/>
        </w:tabs>
        <w:ind w:left="360" w:hanging="360"/>
      </w:pPr>
      <w:rPr>
        <w:rFonts w:hint="default"/>
      </w:rPr>
    </w:lvl>
  </w:abstractNum>
  <w:abstractNum w:abstractNumId="14" w15:restartNumberingAfterBreak="0">
    <w:nsid w:val="7C423148"/>
    <w:multiLevelType w:val="hybridMultilevel"/>
    <w:tmpl w:val="C6AAFC46"/>
    <w:lvl w:ilvl="0" w:tplc="ADFC18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9"/>
  </w:num>
  <w:num w:numId="4">
    <w:abstractNumId w:val="10"/>
  </w:num>
  <w:num w:numId="5">
    <w:abstractNumId w:val="3"/>
  </w:num>
  <w:num w:numId="6">
    <w:abstractNumId w:val="14"/>
  </w:num>
  <w:num w:numId="7">
    <w:abstractNumId w:val="6"/>
  </w:num>
  <w:num w:numId="8">
    <w:abstractNumId w:val="1"/>
  </w:num>
  <w:num w:numId="9">
    <w:abstractNumId w:val="2"/>
  </w:num>
  <w:num w:numId="10">
    <w:abstractNumId w:val="11"/>
  </w:num>
  <w:num w:numId="11">
    <w:abstractNumId w:val="12"/>
  </w:num>
  <w:num w:numId="12">
    <w:abstractNumId w:val="5"/>
  </w:num>
  <w:num w:numId="13">
    <w:abstractNumId w:val="7"/>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844"/>
    <w:rsid w:val="000003C3"/>
    <w:rsid w:val="00001461"/>
    <w:rsid w:val="000100C7"/>
    <w:rsid w:val="0001666A"/>
    <w:rsid w:val="000169AD"/>
    <w:rsid w:val="000207E9"/>
    <w:rsid w:val="00024A9C"/>
    <w:rsid w:val="0002523C"/>
    <w:rsid w:val="00025744"/>
    <w:rsid w:val="00030F81"/>
    <w:rsid w:val="000311E4"/>
    <w:rsid w:val="00033CC9"/>
    <w:rsid w:val="00036088"/>
    <w:rsid w:val="00036636"/>
    <w:rsid w:val="00041B78"/>
    <w:rsid w:val="000431E6"/>
    <w:rsid w:val="000431F3"/>
    <w:rsid w:val="00043F82"/>
    <w:rsid w:val="00044EDD"/>
    <w:rsid w:val="00046497"/>
    <w:rsid w:val="00047EE6"/>
    <w:rsid w:val="000505D8"/>
    <w:rsid w:val="00052642"/>
    <w:rsid w:val="00052F8D"/>
    <w:rsid w:val="00053100"/>
    <w:rsid w:val="00053CED"/>
    <w:rsid w:val="0005464E"/>
    <w:rsid w:val="00055A0E"/>
    <w:rsid w:val="00057081"/>
    <w:rsid w:val="00061F20"/>
    <w:rsid w:val="0006319E"/>
    <w:rsid w:val="00064C43"/>
    <w:rsid w:val="000712D2"/>
    <w:rsid w:val="00074735"/>
    <w:rsid w:val="00074FCE"/>
    <w:rsid w:val="000757F5"/>
    <w:rsid w:val="00075ABE"/>
    <w:rsid w:val="0007763E"/>
    <w:rsid w:val="00083499"/>
    <w:rsid w:val="00084CC8"/>
    <w:rsid w:val="00090C34"/>
    <w:rsid w:val="000A0602"/>
    <w:rsid w:val="000A19C0"/>
    <w:rsid w:val="000A226E"/>
    <w:rsid w:val="000A30F6"/>
    <w:rsid w:val="000A760A"/>
    <w:rsid w:val="000A7B81"/>
    <w:rsid w:val="000B269B"/>
    <w:rsid w:val="000B2E02"/>
    <w:rsid w:val="000B36A8"/>
    <w:rsid w:val="000B453F"/>
    <w:rsid w:val="000B4DA5"/>
    <w:rsid w:val="000B5A01"/>
    <w:rsid w:val="000B6752"/>
    <w:rsid w:val="000B7B10"/>
    <w:rsid w:val="000B7C48"/>
    <w:rsid w:val="000B7D0D"/>
    <w:rsid w:val="000C0030"/>
    <w:rsid w:val="000C2C9F"/>
    <w:rsid w:val="000C39D0"/>
    <w:rsid w:val="000C42C3"/>
    <w:rsid w:val="000C62BA"/>
    <w:rsid w:val="000C6C95"/>
    <w:rsid w:val="000C7E3B"/>
    <w:rsid w:val="000D0419"/>
    <w:rsid w:val="000D1A89"/>
    <w:rsid w:val="000D254B"/>
    <w:rsid w:val="000D4CC1"/>
    <w:rsid w:val="000D56C5"/>
    <w:rsid w:val="000D755B"/>
    <w:rsid w:val="000E21AE"/>
    <w:rsid w:val="000E5A68"/>
    <w:rsid w:val="000F0684"/>
    <w:rsid w:val="000F10DF"/>
    <w:rsid w:val="000F1C57"/>
    <w:rsid w:val="000F6C15"/>
    <w:rsid w:val="000F7DE0"/>
    <w:rsid w:val="000F7DFD"/>
    <w:rsid w:val="00102651"/>
    <w:rsid w:val="00104313"/>
    <w:rsid w:val="00107308"/>
    <w:rsid w:val="00107F34"/>
    <w:rsid w:val="00110F1E"/>
    <w:rsid w:val="001110AA"/>
    <w:rsid w:val="001122FF"/>
    <w:rsid w:val="001127AC"/>
    <w:rsid w:val="00114134"/>
    <w:rsid w:val="0011604B"/>
    <w:rsid w:val="00116EE2"/>
    <w:rsid w:val="001221FE"/>
    <w:rsid w:val="001227DC"/>
    <w:rsid w:val="001245E2"/>
    <w:rsid w:val="001252E3"/>
    <w:rsid w:val="001267D2"/>
    <w:rsid w:val="001303B9"/>
    <w:rsid w:val="00131AA0"/>
    <w:rsid w:val="0013581A"/>
    <w:rsid w:val="00136DB7"/>
    <w:rsid w:val="0014085A"/>
    <w:rsid w:val="00140D56"/>
    <w:rsid w:val="00141783"/>
    <w:rsid w:val="00142060"/>
    <w:rsid w:val="00144D8E"/>
    <w:rsid w:val="00146EBC"/>
    <w:rsid w:val="001511B7"/>
    <w:rsid w:val="001517E7"/>
    <w:rsid w:val="00151F9A"/>
    <w:rsid w:val="001526B5"/>
    <w:rsid w:val="001551C0"/>
    <w:rsid w:val="001551C3"/>
    <w:rsid w:val="00160881"/>
    <w:rsid w:val="00161C9D"/>
    <w:rsid w:val="001631A8"/>
    <w:rsid w:val="00164D5D"/>
    <w:rsid w:val="00167B7A"/>
    <w:rsid w:val="001702D2"/>
    <w:rsid w:val="00171E35"/>
    <w:rsid w:val="00173176"/>
    <w:rsid w:val="001757FA"/>
    <w:rsid w:val="00176B3E"/>
    <w:rsid w:val="00176CBE"/>
    <w:rsid w:val="00177F9B"/>
    <w:rsid w:val="0018035A"/>
    <w:rsid w:val="001807FE"/>
    <w:rsid w:val="00181997"/>
    <w:rsid w:val="001824EA"/>
    <w:rsid w:val="00187EB9"/>
    <w:rsid w:val="00190DC9"/>
    <w:rsid w:val="00191E6F"/>
    <w:rsid w:val="00194C9A"/>
    <w:rsid w:val="001958AB"/>
    <w:rsid w:val="00195BF9"/>
    <w:rsid w:val="00196194"/>
    <w:rsid w:val="001A1677"/>
    <w:rsid w:val="001A2EAE"/>
    <w:rsid w:val="001A32AD"/>
    <w:rsid w:val="001A4DF0"/>
    <w:rsid w:val="001A5801"/>
    <w:rsid w:val="001A6166"/>
    <w:rsid w:val="001B1411"/>
    <w:rsid w:val="001B350A"/>
    <w:rsid w:val="001B4298"/>
    <w:rsid w:val="001B441C"/>
    <w:rsid w:val="001B4C6D"/>
    <w:rsid w:val="001C19D8"/>
    <w:rsid w:val="001C29B0"/>
    <w:rsid w:val="001C459C"/>
    <w:rsid w:val="001C49CD"/>
    <w:rsid w:val="001C63E7"/>
    <w:rsid w:val="001C75FC"/>
    <w:rsid w:val="001C7C39"/>
    <w:rsid w:val="001D0F8E"/>
    <w:rsid w:val="001D102B"/>
    <w:rsid w:val="001D1A1A"/>
    <w:rsid w:val="001D25EE"/>
    <w:rsid w:val="001D2A37"/>
    <w:rsid w:val="001D777B"/>
    <w:rsid w:val="001E20D6"/>
    <w:rsid w:val="001E26A4"/>
    <w:rsid w:val="001E3705"/>
    <w:rsid w:val="001E48ED"/>
    <w:rsid w:val="001F2589"/>
    <w:rsid w:val="001F39BB"/>
    <w:rsid w:val="001F5095"/>
    <w:rsid w:val="001F5342"/>
    <w:rsid w:val="001F626A"/>
    <w:rsid w:val="001F641D"/>
    <w:rsid w:val="001F7B8F"/>
    <w:rsid w:val="002005EE"/>
    <w:rsid w:val="00200C35"/>
    <w:rsid w:val="00201DB7"/>
    <w:rsid w:val="00203534"/>
    <w:rsid w:val="0021011E"/>
    <w:rsid w:val="0021087B"/>
    <w:rsid w:val="002142B2"/>
    <w:rsid w:val="00214A91"/>
    <w:rsid w:val="00220821"/>
    <w:rsid w:val="00220CAB"/>
    <w:rsid w:val="00221FAB"/>
    <w:rsid w:val="00230025"/>
    <w:rsid w:val="002310DB"/>
    <w:rsid w:val="002323C2"/>
    <w:rsid w:val="002328EA"/>
    <w:rsid w:val="00233B33"/>
    <w:rsid w:val="00236A71"/>
    <w:rsid w:val="00240AD9"/>
    <w:rsid w:val="0024138B"/>
    <w:rsid w:val="00247582"/>
    <w:rsid w:val="0024766E"/>
    <w:rsid w:val="00251A55"/>
    <w:rsid w:val="00252384"/>
    <w:rsid w:val="0025421A"/>
    <w:rsid w:val="00261436"/>
    <w:rsid w:val="00264866"/>
    <w:rsid w:val="002653E4"/>
    <w:rsid w:val="00266701"/>
    <w:rsid w:val="00267F40"/>
    <w:rsid w:val="002706DF"/>
    <w:rsid w:val="002713E7"/>
    <w:rsid w:val="002726D0"/>
    <w:rsid w:val="00272D75"/>
    <w:rsid w:val="00276990"/>
    <w:rsid w:val="00280584"/>
    <w:rsid w:val="0028688F"/>
    <w:rsid w:val="002910C2"/>
    <w:rsid w:val="00291631"/>
    <w:rsid w:val="00292A95"/>
    <w:rsid w:val="00293F23"/>
    <w:rsid w:val="00294839"/>
    <w:rsid w:val="00294A52"/>
    <w:rsid w:val="00295A0A"/>
    <w:rsid w:val="00295B65"/>
    <w:rsid w:val="0029788B"/>
    <w:rsid w:val="00297E77"/>
    <w:rsid w:val="002A0CFD"/>
    <w:rsid w:val="002A2984"/>
    <w:rsid w:val="002A34FC"/>
    <w:rsid w:val="002A37DE"/>
    <w:rsid w:val="002A397F"/>
    <w:rsid w:val="002A4B47"/>
    <w:rsid w:val="002A5F3D"/>
    <w:rsid w:val="002A7531"/>
    <w:rsid w:val="002A7620"/>
    <w:rsid w:val="002A78D5"/>
    <w:rsid w:val="002A7A2B"/>
    <w:rsid w:val="002B2CAE"/>
    <w:rsid w:val="002B2F5A"/>
    <w:rsid w:val="002B3ABC"/>
    <w:rsid w:val="002B5AE8"/>
    <w:rsid w:val="002B5D8D"/>
    <w:rsid w:val="002B6AC3"/>
    <w:rsid w:val="002B72E2"/>
    <w:rsid w:val="002C3C19"/>
    <w:rsid w:val="002C4EC8"/>
    <w:rsid w:val="002C5B09"/>
    <w:rsid w:val="002D1CB6"/>
    <w:rsid w:val="002D51EE"/>
    <w:rsid w:val="002D66F0"/>
    <w:rsid w:val="002E0482"/>
    <w:rsid w:val="002E0B1A"/>
    <w:rsid w:val="002E2CC9"/>
    <w:rsid w:val="002E56F6"/>
    <w:rsid w:val="002E695D"/>
    <w:rsid w:val="002F0C06"/>
    <w:rsid w:val="002F1B3D"/>
    <w:rsid w:val="002F30D4"/>
    <w:rsid w:val="002F372D"/>
    <w:rsid w:val="002F3DDD"/>
    <w:rsid w:val="002F6020"/>
    <w:rsid w:val="002F707F"/>
    <w:rsid w:val="002F753C"/>
    <w:rsid w:val="00300D51"/>
    <w:rsid w:val="003018E1"/>
    <w:rsid w:val="00301AD8"/>
    <w:rsid w:val="00301E76"/>
    <w:rsid w:val="00304A97"/>
    <w:rsid w:val="00305D64"/>
    <w:rsid w:val="00311148"/>
    <w:rsid w:val="003123AD"/>
    <w:rsid w:val="003131E2"/>
    <w:rsid w:val="003154E3"/>
    <w:rsid w:val="003167D6"/>
    <w:rsid w:val="00317EF3"/>
    <w:rsid w:val="00320BB2"/>
    <w:rsid w:val="00321B1D"/>
    <w:rsid w:val="00322868"/>
    <w:rsid w:val="00324042"/>
    <w:rsid w:val="00325A98"/>
    <w:rsid w:val="00325F60"/>
    <w:rsid w:val="0032797C"/>
    <w:rsid w:val="00330778"/>
    <w:rsid w:val="0033369C"/>
    <w:rsid w:val="00334C06"/>
    <w:rsid w:val="00335C3F"/>
    <w:rsid w:val="003379FB"/>
    <w:rsid w:val="00337A80"/>
    <w:rsid w:val="00340DD5"/>
    <w:rsid w:val="003420A5"/>
    <w:rsid w:val="0034284F"/>
    <w:rsid w:val="00344DCE"/>
    <w:rsid w:val="00346CBB"/>
    <w:rsid w:val="0035247B"/>
    <w:rsid w:val="0035631E"/>
    <w:rsid w:val="00357912"/>
    <w:rsid w:val="00357A31"/>
    <w:rsid w:val="003608E7"/>
    <w:rsid w:val="003613D2"/>
    <w:rsid w:val="003628C5"/>
    <w:rsid w:val="00365768"/>
    <w:rsid w:val="00366D42"/>
    <w:rsid w:val="00366EDE"/>
    <w:rsid w:val="003705FB"/>
    <w:rsid w:val="0037081B"/>
    <w:rsid w:val="00373134"/>
    <w:rsid w:val="0037386E"/>
    <w:rsid w:val="00373BF9"/>
    <w:rsid w:val="00374DAB"/>
    <w:rsid w:val="00376906"/>
    <w:rsid w:val="00377105"/>
    <w:rsid w:val="00377799"/>
    <w:rsid w:val="003778BC"/>
    <w:rsid w:val="00380795"/>
    <w:rsid w:val="003807F3"/>
    <w:rsid w:val="00383E0C"/>
    <w:rsid w:val="00392170"/>
    <w:rsid w:val="00393CBD"/>
    <w:rsid w:val="003A29BB"/>
    <w:rsid w:val="003A449B"/>
    <w:rsid w:val="003A4F23"/>
    <w:rsid w:val="003A72F7"/>
    <w:rsid w:val="003A7735"/>
    <w:rsid w:val="003B23BE"/>
    <w:rsid w:val="003B2E8E"/>
    <w:rsid w:val="003B4CEA"/>
    <w:rsid w:val="003B66E1"/>
    <w:rsid w:val="003B7A58"/>
    <w:rsid w:val="003C02DC"/>
    <w:rsid w:val="003C2F17"/>
    <w:rsid w:val="003C7A60"/>
    <w:rsid w:val="003C7B80"/>
    <w:rsid w:val="003D0A82"/>
    <w:rsid w:val="003D267C"/>
    <w:rsid w:val="003D5253"/>
    <w:rsid w:val="003D66B5"/>
    <w:rsid w:val="003D7554"/>
    <w:rsid w:val="003D76AB"/>
    <w:rsid w:val="003E4EB9"/>
    <w:rsid w:val="003E6B6D"/>
    <w:rsid w:val="003E6BDA"/>
    <w:rsid w:val="003F0C3F"/>
    <w:rsid w:val="003F2267"/>
    <w:rsid w:val="003F3896"/>
    <w:rsid w:val="003F685E"/>
    <w:rsid w:val="003F7CFB"/>
    <w:rsid w:val="004039D7"/>
    <w:rsid w:val="00407F9E"/>
    <w:rsid w:val="0041162E"/>
    <w:rsid w:val="00411FA8"/>
    <w:rsid w:val="00413834"/>
    <w:rsid w:val="00417820"/>
    <w:rsid w:val="00424D55"/>
    <w:rsid w:val="0042527E"/>
    <w:rsid w:val="00427222"/>
    <w:rsid w:val="0043023A"/>
    <w:rsid w:val="00432666"/>
    <w:rsid w:val="00436E43"/>
    <w:rsid w:val="00437EE1"/>
    <w:rsid w:val="004401E5"/>
    <w:rsid w:val="004407CC"/>
    <w:rsid w:val="004461F6"/>
    <w:rsid w:val="00447204"/>
    <w:rsid w:val="0044750F"/>
    <w:rsid w:val="004479AD"/>
    <w:rsid w:val="00450C84"/>
    <w:rsid w:val="0045203C"/>
    <w:rsid w:val="00452791"/>
    <w:rsid w:val="00454276"/>
    <w:rsid w:val="00456065"/>
    <w:rsid w:val="00457809"/>
    <w:rsid w:val="00460DAA"/>
    <w:rsid w:val="00461D9C"/>
    <w:rsid w:val="00463AE5"/>
    <w:rsid w:val="004643C5"/>
    <w:rsid w:val="004648F0"/>
    <w:rsid w:val="00471312"/>
    <w:rsid w:val="00474EE3"/>
    <w:rsid w:val="004753BE"/>
    <w:rsid w:val="00475D75"/>
    <w:rsid w:val="0047716C"/>
    <w:rsid w:val="00480792"/>
    <w:rsid w:val="00483B15"/>
    <w:rsid w:val="00484B68"/>
    <w:rsid w:val="004904CD"/>
    <w:rsid w:val="00491D13"/>
    <w:rsid w:val="004937D5"/>
    <w:rsid w:val="0049380F"/>
    <w:rsid w:val="00496460"/>
    <w:rsid w:val="00496B0F"/>
    <w:rsid w:val="00497B92"/>
    <w:rsid w:val="004A722A"/>
    <w:rsid w:val="004B08EB"/>
    <w:rsid w:val="004B3401"/>
    <w:rsid w:val="004B4497"/>
    <w:rsid w:val="004B44E6"/>
    <w:rsid w:val="004B4DC0"/>
    <w:rsid w:val="004B568E"/>
    <w:rsid w:val="004B5F16"/>
    <w:rsid w:val="004C03B5"/>
    <w:rsid w:val="004C06FC"/>
    <w:rsid w:val="004C36CC"/>
    <w:rsid w:val="004D0865"/>
    <w:rsid w:val="004D2681"/>
    <w:rsid w:val="004D413B"/>
    <w:rsid w:val="004D4567"/>
    <w:rsid w:val="004D5511"/>
    <w:rsid w:val="004D56A4"/>
    <w:rsid w:val="004D5D52"/>
    <w:rsid w:val="004E1A2B"/>
    <w:rsid w:val="004E1E22"/>
    <w:rsid w:val="004E6B4C"/>
    <w:rsid w:val="004F107B"/>
    <w:rsid w:val="004F3118"/>
    <w:rsid w:val="004F3FDC"/>
    <w:rsid w:val="004F518E"/>
    <w:rsid w:val="004F677D"/>
    <w:rsid w:val="004F6A93"/>
    <w:rsid w:val="004F7360"/>
    <w:rsid w:val="0050199C"/>
    <w:rsid w:val="005049C7"/>
    <w:rsid w:val="0050659E"/>
    <w:rsid w:val="00510D43"/>
    <w:rsid w:val="005111F0"/>
    <w:rsid w:val="0051258A"/>
    <w:rsid w:val="00513D59"/>
    <w:rsid w:val="00514389"/>
    <w:rsid w:val="005172A3"/>
    <w:rsid w:val="00517D2F"/>
    <w:rsid w:val="00523A05"/>
    <w:rsid w:val="00524C50"/>
    <w:rsid w:val="00525D75"/>
    <w:rsid w:val="00526C94"/>
    <w:rsid w:val="00533651"/>
    <w:rsid w:val="005376BF"/>
    <w:rsid w:val="00537F64"/>
    <w:rsid w:val="00540A30"/>
    <w:rsid w:val="00543341"/>
    <w:rsid w:val="005436B0"/>
    <w:rsid w:val="00543918"/>
    <w:rsid w:val="00543B8E"/>
    <w:rsid w:val="0054450C"/>
    <w:rsid w:val="00547E0F"/>
    <w:rsid w:val="00550CAB"/>
    <w:rsid w:val="00550E0C"/>
    <w:rsid w:val="00551E18"/>
    <w:rsid w:val="005532D7"/>
    <w:rsid w:val="00554DF6"/>
    <w:rsid w:val="0055557B"/>
    <w:rsid w:val="00555ECE"/>
    <w:rsid w:val="00560450"/>
    <w:rsid w:val="00560664"/>
    <w:rsid w:val="00564ADB"/>
    <w:rsid w:val="00565E79"/>
    <w:rsid w:val="005670BB"/>
    <w:rsid w:val="0057187E"/>
    <w:rsid w:val="005719BB"/>
    <w:rsid w:val="00572B70"/>
    <w:rsid w:val="00575568"/>
    <w:rsid w:val="00576A14"/>
    <w:rsid w:val="005808EF"/>
    <w:rsid w:val="00583BEB"/>
    <w:rsid w:val="00583EFD"/>
    <w:rsid w:val="00586AB0"/>
    <w:rsid w:val="00587415"/>
    <w:rsid w:val="00591BA2"/>
    <w:rsid w:val="005931AF"/>
    <w:rsid w:val="00595CB4"/>
    <w:rsid w:val="00596EBD"/>
    <w:rsid w:val="005A457A"/>
    <w:rsid w:val="005A46A6"/>
    <w:rsid w:val="005A4E10"/>
    <w:rsid w:val="005A4FBB"/>
    <w:rsid w:val="005A787B"/>
    <w:rsid w:val="005B1885"/>
    <w:rsid w:val="005B287B"/>
    <w:rsid w:val="005B3575"/>
    <w:rsid w:val="005B3EFA"/>
    <w:rsid w:val="005B50E5"/>
    <w:rsid w:val="005B6F96"/>
    <w:rsid w:val="005C005C"/>
    <w:rsid w:val="005C1213"/>
    <w:rsid w:val="005C7862"/>
    <w:rsid w:val="005D178D"/>
    <w:rsid w:val="005D4685"/>
    <w:rsid w:val="005D5139"/>
    <w:rsid w:val="005D68FB"/>
    <w:rsid w:val="005D6B1B"/>
    <w:rsid w:val="005D7A84"/>
    <w:rsid w:val="005D7B1D"/>
    <w:rsid w:val="005E1D59"/>
    <w:rsid w:val="005E2314"/>
    <w:rsid w:val="005E26DE"/>
    <w:rsid w:val="005E2724"/>
    <w:rsid w:val="005E3AEB"/>
    <w:rsid w:val="005E3CFB"/>
    <w:rsid w:val="005E69AB"/>
    <w:rsid w:val="005E778B"/>
    <w:rsid w:val="005F009C"/>
    <w:rsid w:val="005F0B0F"/>
    <w:rsid w:val="005F1CFC"/>
    <w:rsid w:val="005F4E62"/>
    <w:rsid w:val="005F5F62"/>
    <w:rsid w:val="0060197E"/>
    <w:rsid w:val="00601C27"/>
    <w:rsid w:val="00603018"/>
    <w:rsid w:val="00603225"/>
    <w:rsid w:val="00604B5E"/>
    <w:rsid w:val="00605776"/>
    <w:rsid w:val="006078BB"/>
    <w:rsid w:val="00610F4F"/>
    <w:rsid w:val="00611E3D"/>
    <w:rsid w:val="0061287E"/>
    <w:rsid w:val="006178AD"/>
    <w:rsid w:val="006205FA"/>
    <w:rsid w:val="0062284D"/>
    <w:rsid w:val="00623AC1"/>
    <w:rsid w:val="006267E0"/>
    <w:rsid w:val="00627341"/>
    <w:rsid w:val="006304D8"/>
    <w:rsid w:val="0063358A"/>
    <w:rsid w:val="00633FC0"/>
    <w:rsid w:val="00635ACE"/>
    <w:rsid w:val="00637DCA"/>
    <w:rsid w:val="00641678"/>
    <w:rsid w:val="006434F1"/>
    <w:rsid w:val="006473CC"/>
    <w:rsid w:val="00650B8D"/>
    <w:rsid w:val="00650E28"/>
    <w:rsid w:val="006514F6"/>
    <w:rsid w:val="00652603"/>
    <w:rsid w:val="0065651C"/>
    <w:rsid w:val="00656533"/>
    <w:rsid w:val="00666AF2"/>
    <w:rsid w:val="00666B99"/>
    <w:rsid w:val="00667D78"/>
    <w:rsid w:val="00670304"/>
    <w:rsid w:val="0067123E"/>
    <w:rsid w:val="00673525"/>
    <w:rsid w:val="00675AEC"/>
    <w:rsid w:val="00676390"/>
    <w:rsid w:val="00681000"/>
    <w:rsid w:val="00681B55"/>
    <w:rsid w:val="006823DA"/>
    <w:rsid w:val="006828C0"/>
    <w:rsid w:val="00682D37"/>
    <w:rsid w:val="0068421D"/>
    <w:rsid w:val="00684745"/>
    <w:rsid w:val="006863BF"/>
    <w:rsid w:val="006901DF"/>
    <w:rsid w:val="00692C58"/>
    <w:rsid w:val="00694CB0"/>
    <w:rsid w:val="00696383"/>
    <w:rsid w:val="006A3407"/>
    <w:rsid w:val="006A4549"/>
    <w:rsid w:val="006A675C"/>
    <w:rsid w:val="006B248A"/>
    <w:rsid w:val="006B6B5F"/>
    <w:rsid w:val="006C12F9"/>
    <w:rsid w:val="006C19CC"/>
    <w:rsid w:val="006C2C18"/>
    <w:rsid w:val="006C2E32"/>
    <w:rsid w:val="006C2EB5"/>
    <w:rsid w:val="006C320B"/>
    <w:rsid w:val="006C389E"/>
    <w:rsid w:val="006C5E15"/>
    <w:rsid w:val="006C784A"/>
    <w:rsid w:val="006C7961"/>
    <w:rsid w:val="006C7CFB"/>
    <w:rsid w:val="006D1418"/>
    <w:rsid w:val="006D1877"/>
    <w:rsid w:val="006D60C9"/>
    <w:rsid w:val="006D7DAE"/>
    <w:rsid w:val="006E0D45"/>
    <w:rsid w:val="006E317B"/>
    <w:rsid w:val="006E32AD"/>
    <w:rsid w:val="006E5421"/>
    <w:rsid w:val="006F1036"/>
    <w:rsid w:val="006F11BB"/>
    <w:rsid w:val="006F4B39"/>
    <w:rsid w:val="006F4F2A"/>
    <w:rsid w:val="006F5105"/>
    <w:rsid w:val="006F62EF"/>
    <w:rsid w:val="006F6982"/>
    <w:rsid w:val="006F7B38"/>
    <w:rsid w:val="006F7CD0"/>
    <w:rsid w:val="007000CA"/>
    <w:rsid w:val="007009CB"/>
    <w:rsid w:val="00706183"/>
    <w:rsid w:val="00706F1E"/>
    <w:rsid w:val="007071EC"/>
    <w:rsid w:val="007162B9"/>
    <w:rsid w:val="00716708"/>
    <w:rsid w:val="00716E8B"/>
    <w:rsid w:val="00717545"/>
    <w:rsid w:val="00721B7C"/>
    <w:rsid w:val="007221CA"/>
    <w:rsid w:val="00722B4C"/>
    <w:rsid w:val="00725798"/>
    <w:rsid w:val="007312B8"/>
    <w:rsid w:val="00731524"/>
    <w:rsid w:val="00731CDD"/>
    <w:rsid w:val="007332D9"/>
    <w:rsid w:val="007336E7"/>
    <w:rsid w:val="00734BCB"/>
    <w:rsid w:val="00737410"/>
    <w:rsid w:val="00737C89"/>
    <w:rsid w:val="007554BA"/>
    <w:rsid w:val="0075647E"/>
    <w:rsid w:val="007566A9"/>
    <w:rsid w:val="00757524"/>
    <w:rsid w:val="00757B64"/>
    <w:rsid w:val="00760E04"/>
    <w:rsid w:val="0076458C"/>
    <w:rsid w:val="00764C17"/>
    <w:rsid w:val="00765449"/>
    <w:rsid w:val="007665EC"/>
    <w:rsid w:val="00770B29"/>
    <w:rsid w:val="00774638"/>
    <w:rsid w:val="00777BC7"/>
    <w:rsid w:val="007800DA"/>
    <w:rsid w:val="00780638"/>
    <w:rsid w:val="00782137"/>
    <w:rsid w:val="0078222D"/>
    <w:rsid w:val="00783353"/>
    <w:rsid w:val="00784038"/>
    <w:rsid w:val="0078525A"/>
    <w:rsid w:val="00793BC1"/>
    <w:rsid w:val="00794243"/>
    <w:rsid w:val="00796063"/>
    <w:rsid w:val="007A1553"/>
    <w:rsid w:val="007A1AAB"/>
    <w:rsid w:val="007A1BE7"/>
    <w:rsid w:val="007A2A1E"/>
    <w:rsid w:val="007A53F4"/>
    <w:rsid w:val="007A5600"/>
    <w:rsid w:val="007A5C48"/>
    <w:rsid w:val="007A67FD"/>
    <w:rsid w:val="007B280D"/>
    <w:rsid w:val="007B298E"/>
    <w:rsid w:val="007B2F96"/>
    <w:rsid w:val="007B3ECC"/>
    <w:rsid w:val="007B4145"/>
    <w:rsid w:val="007B4B17"/>
    <w:rsid w:val="007B4C7C"/>
    <w:rsid w:val="007B55F4"/>
    <w:rsid w:val="007C1CE2"/>
    <w:rsid w:val="007C2D8D"/>
    <w:rsid w:val="007C7344"/>
    <w:rsid w:val="007D10D0"/>
    <w:rsid w:val="007D2210"/>
    <w:rsid w:val="007E1732"/>
    <w:rsid w:val="007E6BE0"/>
    <w:rsid w:val="007E77D5"/>
    <w:rsid w:val="007F2BB0"/>
    <w:rsid w:val="007F4568"/>
    <w:rsid w:val="007F4DA3"/>
    <w:rsid w:val="007F5681"/>
    <w:rsid w:val="007F609D"/>
    <w:rsid w:val="00800CCD"/>
    <w:rsid w:val="00802224"/>
    <w:rsid w:val="00802661"/>
    <w:rsid w:val="00804257"/>
    <w:rsid w:val="00804979"/>
    <w:rsid w:val="0080513F"/>
    <w:rsid w:val="0080595C"/>
    <w:rsid w:val="00805B9F"/>
    <w:rsid w:val="008068B6"/>
    <w:rsid w:val="00807692"/>
    <w:rsid w:val="00807F42"/>
    <w:rsid w:val="008142D8"/>
    <w:rsid w:val="00821423"/>
    <w:rsid w:val="00821F2A"/>
    <w:rsid w:val="00822167"/>
    <w:rsid w:val="008265FD"/>
    <w:rsid w:val="00826B17"/>
    <w:rsid w:val="0082753D"/>
    <w:rsid w:val="0083128C"/>
    <w:rsid w:val="008325D7"/>
    <w:rsid w:val="00835A64"/>
    <w:rsid w:val="00836BB3"/>
    <w:rsid w:val="00836E93"/>
    <w:rsid w:val="00840BEA"/>
    <w:rsid w:val="00851515"/>
    <w:rsid w:val="0085379D"/>
    <w:rsid w:val="00853A91"/>
    <w:rsid w:val="00854075"/>
    <w:rsid w:val="008560BF"/>
    <w:rsid w:val="00862DD7"/>
    <w:rsid w:val="00864D15"/>
    <w:rsid w:val="0087261D"/>
    <w:rsid w:val="00872E16"/>
    <w:rsid w:val="008746FE"/>
    <w:rsid w:val="008755A7"/>
    <w:rsid w:val="008761FB"/>
    <w:rsid w:val="008765A9"/>
    <w:rsid w:val="00881EE2"/>
    <w:rsid w:val="00882D08"/>
    <w:rsid w:val="008834F8"/>
    <w:rsid w:val="00885B9E"/>
    <w:rsid w:val="00886DED"/>
    <w:rsid w:val="00887453"/>
    <w:rsid w:val="008875AA"/>
    <w:rsid w:val="008878BA"/>
    <w:rsid w:val="00887ABE"/>
    <w:rsid w:val="008917BE"/>
    <w:rsid w:val="00891F1C"/>
    <w:rsid w:val="008922D2"/>
    <w:rsid w:val="00894911"/>
    <w:rsid w:val="00894FD6"/>
    <w:rsid w:val="00896C85"/>
    <w:rsid w:val="008A0C13"/>
    <w:rsid w:val="008A0EA6"/>
    <w:rsid w:val="008A1467"/>
    <w:rsid w:val="008A3E03"/>
    <w:rsid w:val="008A3FB6"/>
    <w:rsid w:val="008A6C24"/>
    <w:rsid w:val="008B3374"/>
    <w:rsid w:val="008B46E4"/>
    <w:rsid w:val="008B5471"/>
    <w:rsid w:val="008B5E64"/>
    <w:rsid w:val="008C04A7"/>
    <w:rsid w:val="008C5050"/>
    <w:rsid w:val="008C6590"/>
    <w:rsid w:val="008D20D2"/>
    <w:rsid w:val="008D289C"/>
    <w:rsid w:val="008D5AF6"/>
    <w:rsid w:val="008D6F5F"/>
    <w:rsid w:val="008E1441"/>
    <w:rsid w:val="008E449D"/>
    <w:rsid w:val="008E7BAE"/>
    <w:rsid w:val="008F108E"/>
    <w:rsid w:val="008F1C5F"/>
    <w:rsid w:val="008F31BC"/>
    <w:rsid w:val="008F34BA"/>
    <w:rsid w:val="008F4907"/>
    <w:rsid w:val="008F4D4D"/>
    <w:rsid w:val="008F73BB"/>
    <w:rsid w:val="008F7FD8"/>
    <w:rsid w:val="00900684"/>
    <w:rsid w:val="009021C1"/>
    <w:rsid w:val="009026C1"/>
    <w:rsid w:val="00903455"/>
    <w:rsid w:val="009038BD"/>
    <w:rsid w:val="00904614"/>
    <w:rsid w:val="00904F50"/>
    <w:rsid w:val="00907D5E"/>
    <w:rsid w:val="00910E76"/>
    <w:rsid w:val="00914199"/>
    <w:rsid w:val="00914206"/>
    <w:rsid w:val="0091795F"/>
    <w:rsid w:val="00921F90"/>
    <w:rsid w:val="00922025"/>
    <w:rsid w:val="009259F6"/>
    <w:rsid w:val="0092767D"/>
    <w:rsid w:val="00927A4F"/>
    <w:rsid w:val="0093085E"/>
    <w:rsid w:val="009308B7"/>
    <w:rsid w:val="00934D03"/>
    <w:rsid w:val="00942671"/>
    <w:rsid w:val="009431B2"/>
    <w:rsid w:val="00943EE5"/>
    <w:rsid w:val="00950AFE"/>
    <w:rsid w:val="00950B8C"/>
    <w:rsid w:val="009519F9"/>
    <w:rsid w:val="00956FE6"/>
    <w:rsid w:val="00960959"/>
    <w:rsid w:val="0096146F"/>
    <w:rsid w:val="00963623"/>
    <w:rsid w:val="009669FD"/>
    <w:rsid w:val="00972551"/>
    <w:rsid w:val="009739A8"/>
    <w:rsid w:val="0097438B"/>
    <w:rsid w:val="00974BF4"/>
    <w:rsid w:val="00975C65"/>
    <w:rsid w:val="00976D47"/>
    <w:rsid w:val="00981868"/>
    <w:rsid w:val="00984B92"/>
    <w:rsid w:val="009855B3"/>
    <w:rsid w:val="00990FC2"/>
    <w:rsid w:val="00995C88"/>
    <w:rsid w:val="009961F4"/>
    <w:rsid w:val="00996B17"/>
    <w:rsid w:val="00997827"/>
    <w:rsid w:val="009A171F"/>
    <w:rsid w:val="009A1DCE"/>
    <w:rsid w:val="009A1E84"/>
    <w:rsid w:val="009A47E8"/>
    <w:rsid w:val="009A5175"/>
    <w:rsid w:val="009A560D"/>
    <w:rsid w:val="009A6A81"/>
    <w:rsid w:val="009A70BA"/>
    <w:rsid w:val="009B17B0"/>
    <w:rsid w:val="009B4162"/>
    <w:rsid w:val="009B6FF2"/>
    <w:rsid w:val="009C0D28"/>
    <w:rsid w:val="009C373B"/>
    <w:rsid w:val="009C7289"/>
    <w:rsid w:val="009C7582"/>
    <w:rsid w:val="009D0245"/>
    <w:rsid w:val="009D0963"/>
    <w:rsid w:val="009D3192"/>
    <w:rsid w:val="009D4A8F"/>
    <w:rsid w:val="009D675E"/>
    <w:rsid w:val="009D6AAD"/>
    <w:rsid w:val="009D7BAA"/>
    <w:rsid w:val="009E27A1"/>
    <w:rsid w:val="009E29AE"/>
    <w:rsid w:val="009E57EB"/>
    <w:rsid w:val="009E5FFF"/>
    <w:rsid w:val="009E62ED"/>
    <w:rsid w:val="009E6EA1"/>
    <w:rsid w:val="009E70DF"/>
    <w:rsid w:val="009F00F7"/>
    <w:rsid w:val="009F01B6"/>
    <w:rsid w:val="009F0517"/>
    <w:rsid w:val="009F39AB"/>
    <w:rsid w:val="009F4C63"/>
    <w:rsid w:val="009F58C1"/>
    <w:rsid w:val="009F7B61"/>
    <w:rsid w:val="00A01355"/>
    <w:rsid w:val="00A039F5"/>
    <w:rsid w:val="00A06226"/>
    <w:rsid w:val="00A06F64"/>
    <w:rsid w:val="00A073E4"/>
    <w:rsid w:val="00A07FE5"/>
    <w:rsid w:val="00A1058E"/>
    <w:rsid w:val="00A10A07"/>
    <w:rsid w:val="00A140EF"/>
    <w:rsid w:val="00A14FFB"/>
    <w:rsid w:val="00A16DD9"/>
    <w:rsid w:val="00A2085C"/>
    <w:rsid w:val="00A20BAD"/>
    <w:rsid w:val="00A238E2"/>
    <w:rsid w:val="00A23BC2"/>
    <w:rsid w:val="00A27576"/>
    <w:rsid w:val="00A279AE"/>
    <w:rsid w:val="00A301BF"/>
    <w:rsid w:val="00A324F5"/>
    <w:rsid w:val="00A33238"/>
    <w:rsid w:val="00A33C76"/>
    <w:rsid w:val="00A374C5"/>
    <w:rsid w:val="00A3780B"/>
    <w:rsid w:val="00A40F89"/>
    <w:rsid w:val="00A4403F"/>
    <w:rsid w:val="00A50642"/>
    <w:rsid w:val="00A548BD"/>
    <w:rsid w:val="00A56714"/>
    <w:rsid w:val="00A60BCB"/>
    <w:rsid w:val="00A6155C"/>
    <w:rsid w:val="00A616FD"/>
    <w:rsid w:val="00A62D8A"/>
    <w:rsid w:val="00A630CF"/>
    <w:rsid w:val="00A63DDF"/>
    <w:rsid w:val="00A65C6A"/>
    <w:rsid w:val="00A67867"/>
    <w:rsid w:val="00A72806"/>
    <w:rsid w:val="00A75C1B"/>
    <w:rsid w:val="00A778B4"/>
    <w:rsid w:val="00A80522"/>
    <w:rsid w:val="00A812F7"/>
    <w:rsid w:val="00A81393"/>
    <w:rsid w:val="00A82736"/>
    <w:rsid w:val="00A83654"/>
    <w:rsid w:val="00A84206"/>
    <w:rsid w:val="00A84622"/>
    <w:rsid w:val="00A86719"/>
    <w:rsid w:val="00A906AA"/>
    <w:rsid w:val="00A91400"/>
    <w:rsid w:val="00A92164"/>
    <w:rsid w:val="00A93B85"/>
    <w:rsid w:val="00A93CC6"/>
    <w:rsid w:val="00A94AC0"/>
    <w:rsid w:val="00A96584"/>
    <w:rsid w:val="00A97F66"/>
    <w:rsid w:val="00AA2103"/>
    <w:rsid w:val="00AA2762"/>
    <w:rsid w:val="00AA33E2"/>
    <w:rsid w:val="00AA4D3F"/>
    <w:rsid w:val="00AB4875"/>
    <w:rsid w:val="00AB4BEB"/>
    <w:rsid w:val="00AB546D"/>
    <w:rsid w:val="00AB66F1"/>
    <w:rsid w:val="00AB67C3"/>
    <w:rsid w:val="00AC0C5E"/>
    <w:rsid w:val="00AC325C"/>
    <w:rsid w:val="00AC5AD2"/>
    <w:rsid w:val="00AD02B2"/>
    <w:rsid w:val="00AD3299"/>
    <w:rsid w:val="00AD424E"/>
    <w:rsid w:val="00AD6322"/>
    <w:rsid w:val="00AD683B"/>
    <w:rsid w:val="00AD71F7"/>
    <w:rsid w:val="00AD7835"/>
    <w:rsid w:val="00AE01A4"/>
    <w:rsid w:val="00AE0CEF"/>
    <w:rsid w:val="00AE1E28"/>
    <w:rsid w:val="00AE213B"/>
    <w:rsid w:val="00AE2BDD"/>
    <w:rsid w:val="00AE4FA2"/>
    <w:rsid w:val="00AE50D0"/>
    <w:rsid w:val="00AE5790"/>
    <w:rsid w:val="00AE63A7"/>
    <w:rsid w:val="00AF1430"/>
    <w:rsid w:val="00AF148E"/>
    <w:rsid w:val="00AF165F"/>
    <w:rsid w:val="00AF20C4"/>
    <w:rsid w:val="00AF2131"/>
    <w:rsid w:val="00AF462A"/>
    <w:rsid w:val="00B02261"/>
    <w:rsid w:val="00B02C8D"/>
    <w:rsid w:val="00B04DE5"/>
    <w:rsid w:val="00B07940"/>
    <w:rsid w:val="00B10809"/>
    <w:rsid w:val="00B10A9C"/>
    <w:rsid w:val="00B12CFB"/>
    <w:rsid w:val="00B12EA9"/>
    <w:rsid w:val="00B13EE4"/>
    <w:rsid w:val="00B165F2"/>
    <w:rsid w:val="00B175EF"/>
    <w:rsid w:val="00B21AB2"/>
    <w:rsid w:val="00B24158"/>
    <w:rsid w:val="00B2701A"/>
    <w:rsid w:val="00B31297"/>
    <w:rsid w:val="00B331CD"/>
    <w:rsid w:val="00B36EC7"/>
    <w:rsid w:val="00B37EDE"/>
    <w:rsid w:val="00B40E10"/>
    <w:rsid w:val="00B422B3"/>
    <w:rsid w:val="00B46A78"/>
    <w:rsid w:val="00B47CFC"/>
    <w:rsid w:val="00B51260"/>
    <w:rsid w:val="00B52FBF"/>
    <w:rsid w:val="00B54135"/>
    <w:rsid w:val="00B5460C"/>
    <w:rsid w:val="00B60244"/>
    <w:rsid w:val="00B60B59"/>
    <w:rsid w:val="00B613DC"/>
    <w:rsid w:val="00B6297B"/>
    <w:rsid w:val="00B65916"/>
    <w:rsid w:val="00B70574"/>
    <w:rsid w:val="00B7197D"/>
    <w:rsid w:val="00B72D5E"/>
    <w:rsid w:val="00B7470F"/>
    <w:rsid w:val="00B75F5B"/>
    <w:rsid w:val="00B7709F"/>
    <w:rsid w:val="00B77A97"/>
    <w:rsid w:val="00B81557"/>
    <w:rsid w:val="00B830F3"/>
    <w:rsid w:val="00B83B9E"/>
    <w:rsid w:val="00B85272"/>
    <w:rsid w:val="00B8615C"/>
    <w:rsid w:val="00B90DF8"/>
    <w:rsid w:val="00B915CD"/>
    <w:rsid w:val="00B91989"/>
    <w:rsid w:val="00B91D3B"/>
    <w:rsid w:val="00B927B2"/>
    <w:rsid w:val="00BA1526"/>
    <w:rsid w:val="00BA3ACD"/>
    <w:rsid w:val="00BB09FC"/>
    <w:rsid w:val="00BB6A03"/>
    <w:rsid w:val="00BC07E4"/>
    <w:rsid w:val="00BC2908"/>
    <w:rsid w:val="00BC352F"/>
    <w:rsid w:val="00BD0528"/>
    <w:rsid w:val="00BD113B"/>
    <w:rsid w:val="00BD234D"/>
    <w:rsid w:val="00BE0418"/>
    <w:rsid w:val="00BE2252"/>
    <w:rsid w:val="00BE3897"/>
    <w:rsid w:val="00BF29F7"/>
    <w:rsid w:val="00BF4D8D"/>
    <w:rsid w:val="00C04125"/>
    <w:rsid w:val="00C054FD"/>
    <w:rsid w:val="00C070B0"/>
    <w:rsid w:val="00C109D2"/>
    <w:rsid w:val="00C1137E"/>
    <w:rsid w:val="00C12F1A"/>
    <w:rsid w:val="00C13267"/>
    <w:rsid w:val="00C15067"/>
    <w:rsid w:val="00C15519"/>
    <w:rsid w:val="00C20265"/>
    <w:rsid w:val="00C26C79"/>
    <w:rsid w:val="00C2716E"/>
    <w:rsid w:val="00C33EBE"/>
    <w:rsid w:val="00C34DFA"/>
    <w:rsid w:val="00C35D44"/>
    <w:rsid w:val="00C40493"/>
    <w:rsid w:val="00C4343D"/>
    <w:rsid w:val="00C435FE"/>
    <w:rsid w:val="00C44744"/>
    <w:rsid w:val="00C454A0"/>
    <w:rsid w:val="00C45AF2"/>
    <w:rsid w:val="00C46870"/>
    <w:rsid w:val="00C50CEE"/>
    <w:rsid w:val="00C53523"/>
    <w:rsid w:val="00C56A78"/>
    <w:rsid w:val="00C615BC"/>
    <w:rsid w:val="00C616D4"/>
    <w:rsid w:val="00C6337F"/>
    <w:rsid w:val="00C65DAA"/>
    <w:rsid w:val="00C70967"/>
    <w:rsid w:val="00C70F0D"/>
    <w:rsid w:val="00C7149E"/>
    <w:rsid w:val="00C7163C"/>
    <w:rsid w:val="00C73128"/>
    <w:rsid w:val="00C73E34"/>
    <w:rsid w:val="00C74637"/>
    <w:rsid w:val="00C773A6"/>
    <w:rsid w:val="00C77CEF"/>
    <w:rsid w:val="00C83A9F"/>
    <w:rsid w:val="00C86028"/>
    <w:rsid w:val="00C8730F"/>
    <w:rsid w:val="00C87D66"/>
    <w:rsid w:val="00C913C3"/>
    <w:rsid w:val="00C91F32"/>
    <w:rsid w:val="00C92FCD"/>
    <w:rsid w:val="00C93419"/>
    <w:rsid w:val="00C94096"/>
    <w:rsid w:val="00C96D3D"/>
    <w:rsid w:val="00C97675"/>
    <w:rsid w:val="00C97AA4"/>
    <w:rsid w:val="00CA092A"/>
    <w:rsid w:val="00CA1393"/>
    <w:rsid w:val="00CA1F1D"/>
    <w:rsid w:val="00CA2E66"/>
    <w:rsid w:val="00CA4934"/>
    <w:rsid w:val="00CA5E18"/>
    <w:rsid w:val="00CB0083"/>
    <w:rsid w:val="00CB3028"/>
    <w:rsid w:val="00CB3564"/>
    <w:rsid w:val="00CB36B8"/>
    <w:rsid w:val="00CB6F38"/>
    <w:rsid w:val="00CB7674"/>
    <w:rsid w:val="00CC1E74"/>
    <w:rsid w:val="00CC2911"/>
    <w:rsid w:val="00CC382D"/>
    <w:rsid w:val="00CC414F"/>
    <w:rsid w:val="00CC5724"/>
    <w:rsid w:val="00CC5A8D"/>
    <w:rsid w:val="00CD051D"/>
    <w:rsid w:val="00CD0814"/>
    <w:rsid w:val="00CD3011"/>
    <w:rsid w:val="00CD404C"/>
    <w:rsid w:val="00CD6283"/>
    <w:rsid w:val="00CE2800"/>
    <w:rsid w:val="00CE2942"/>
    <w:rsid w:val="00CE4594"/>
    <w:rsid w:val="00CE539E"/>
    <w:rsid w:val="00CE7D4C"/>
    <w:rsid w:val="00CF4DD5"/>
    <w:rsid w:val="00CF4E99"/>
    <w:rsid w:val="00CF59B0"/>
    <w:rsid w:val="00CF6450"/>
    <w:rsid w:val="00D027E1"/>
    <w:rsid w:val="00D0443D"/>
    <w:rsid w:val="00D07706"/>
    <w:rsid w:val="00D1313C"/>
    <w:rsid w:val="00D140FB"/>
    <w:rsid w:val="00D20869"/>
    <w:rsid w:val="00D2223D"/>
    <w:rsid w:val="00D240AB"/>
    <w:rsid w:val="00D26802"/>
    <w:rsid w:val="00D26A92"/>
    <w:rsid w:val="00D30E86"/>
    <w:rsid w:val="00D31BBF"/>
    <w:rsid w:val="00D333E7"/>
    <w:rsid w:val="00D345CC"/>
    <w:rsid w:val="00D351D5"/>
    <w:rsid w:val="00D37388"/>
    <w:rsid w:val="00D42573"/>
    <w:rsid w:val="00D4273C"/>
    <w:rsid w:val="00D42DD7"/>
    <w:rsid w:val="00D4324F"/>
    <w:rsid w:val="00D43891"/>
    <w:rsid w:val="00D44044"/>
    <w:rsid w:val="00D450BE"/>
    <w:rsid w:val="00D4541D"/>
    <w:rsid w:val="00D4562B"/>
    <w:rsid w:val="00D47099"/>
    <w:rsid w:val="00D51C58"/>
    <w:rsid w:val="00D550B0"/>
    <w:rsid w:val="00D557B6"/>
    <w:rsid w:val="00D57222"/>
    <w:rsid w:val="00D57B35"/>
    <w:rsid w:val="00D6516C"/>
    <w:rsid w:val="00D653BA"/>
    <w:rsid w:val="00D65466"/>
    <w:rsid w:val="00D66492"/>
    <w:rsid w:val="00D6782F"/>
    <w:rsid w:val="00D7046A"/>
    <w:rsid w:val="00D72443"/>
    <w:rsid w:val="00D73071"/>
    <w:rsid w:val="00D7333C"/>
    <w:rsid w:val="00D77E12"/>
    <w:rsid w:val="00D84F1B"/>
    <w:rsid w:val="00D861B4"/>
    <w:rsid w:val="00D86CBA"/>
    <w:rsid w:val="00D87889"/>
    <w:rsid w:val="00D87DAF"/>
    <w:rsid w:val="00D91080"/>
    <w:rsid w:val="00D918AC"/>
    <w:rsid w:val="00D91A11"/>
    <w:rsid w:val="00D92AFE"/>
    <w:rsid w:val="00D94CC0"/>
    <w:rsid w:val="00D95B81"/>
    <w:rsid w:val="00D967AC"/>
    <w:rsid w:val="00D96F47"/>
    <w:rsid w:val="00D97930"/>
    <w:rsid w:val="00DA3D7F"/>
    <w:rsid w:val="00DA42E0"/>
    <w:rsid w:val="00DA4D3B"/>
    <w:rsid w:val="00DA66FD"/>
    <w:rsid w:val="00DA7BF6"/>
    <w:rsid w:val="00DB1B23"/>
    <w:rsid w:val="00DB33A3"/>
    <w:rsid w:val="00DB3A38"/>
    <w:rsid w:val="00DB562F"/>
    <w:rsid w:val="00DB5AE9"/>
    <w:rsid w:val="00DB643A"/>
    <w:rsid w:val="00DB726A"/>
    <w:rsid w:val="00DC1198"/>
    <w:rsid w:val="00DC3531"/>
    <w:rsid w:val="00DD1FC9"/>
    <w:rsid w:val="00DD3F78"/>
    <w:rsid w:val="00DD4B92"/>
    <w:rsid w:val="00DD4D0B"/>
    <w:rsid w:val="00DD673A"/>
    <w:rsid w:val="00DE52B7"/>
    <w:rsid w:val="00DE6E27"/>
    <w:rsid w:val="00DF3B54"/>
    <w:rsid w:val="00DF680B"/>
    <w:rsid w:val="00E01778"/>
    <w:rsid w:val="00E02D06"/>
    <w:rsid w:val="00E07FC0"/>
    <w:rsid w:val="00E12B4C"/>
    <w:rsid w:val="00E14845"/>
    <w:rsid w:val="00E14F1E"/>
    <w:rsid w:val="00E14FB8"/>
    <w:rsid w:val="00E1531E"/>
    <w:rsid w:val="00E15AE9"/>
    <w:rsid w:val="00E16784"/>
    <w:rsid w:val="00E16B8C"/>
    <w:rsid w:val="00E16BD1"/>
    <w:rsid w:val="00E17614"/>
    <w:rsid w:val="00E20F6F"/>
    <w:rsid w:val="00E24F9F"/>
    <w:rsid w:val="00E251B4"/>
    <w:rsid w:val="00E3249A"/>
    <w:rsid w:val="00E32ED7"/>
    <w:rsid w:val="00E35EE3"/>
    <w:rsid w:val="00E377BE"/>
    <w:rsid w:val="00E41951"/>
    <w:rsid w:val="00E43597"/>
    <w:rsid w:val="00E44408"/>
    <w:rsid w:val="00E44D56"/>
    <w:rsid w:val="00E44DEB"/>
    <w:rsid w:val="00E457BC"/>
    <w:rsid w:val="00E50062"/>
    <w:rsid w:val="00E519C4"/>
    <w:rsid w:val="00E53991"/>
    <w:rsid w:val="00E55150"/>
    <w:rsid w:val="00E5578B"/>
    <w:rsid w:val="00E60BE8"/>
    <w:rsid w:val="00E61B56"/>
    <w:rsid w:val="00E66844"/>
    <w:rsid w:val="00E671C1"/>
    <w:rsid w:val="00E67A22"/>
    <w:rsid w:val="00E7218B"/>
    <w:rsid w:val="00E74522"/>
    <w:rsid w:val="00E75727"/>
    <w:rsid w:val="00E81B5B"/>
    <w:rsid w:val="00E82A46"/>
    <w:rsid w:val="00E843D7"/>
    <w:rsid w:val="00E863F9"/>
    <w:rsid w:val="00E873D6"/>
    <w:rsid w:val="00E90DCB"/>
    <w:rsid w:val="00E93557"/>
    <w:rsid w:val="00E94AFA"/>
    <w:rsid w:val="00E94BE2"/>
    <w:rsid w:val="00E97966"/>
    <w:rsid w:val="00EA0FA1"/>
    <w:rsid w:val="00EA1420"/>
    <w:rsid w:val="00EA37D9"/>
    <w:rsid w:val="00EA4055"/>
    <w:rsid w:val="00EA5294"/>
    <w:rsid w:val="00EB056A"/>
    <w:rsid w:val="00EB18D3"/>
    <w:rsid w:val="00EB27DF"/>
    <w:rsid w:val="00EB4213"/>
    <w:rsid w:val="00EB6194"/>
    <w:rsid w:val="00EB7359"/>
    <w:rsid w:val="00EC17C0"/>
    <w:rsid w:val="00EC29A6"/>
    <w:rsid w:val="00EC54A3"/>
    <w:rsid w:val="00EC7E44"/>
    <w:rsid w:val="00ED2851"/>
    <w:rsid w:val="00ED2A1C"/>
    <w:rsid w:val="00ED5F02"/>
    <w:rsid w:val="00ED731A"/>
    <w:rsid w:val="00EE1899"/>
    <w:rsid w:val="00EE334B"/>
    <w:rsid w:val="00EE35C2"/>
    <w:rsid w:val="00EF05E6"/>
    <w:rsid w:val="00EF5D0D"/>
    <w:rsid w:val="00EF6F84"/>
    <w:rsid w:val="00F00054"/>
    <w:rsid w:val="00F0033E"/>
    <w:rsid w:val="00F00E1F"/>
    <w:rsid w:val="00F04618"/>
    <w:rsid w:val="00F050C1"/>
    <w:rsid w:val="00F06999"/>
    <w:rsid w:val="00F11820"/>
    <w:rsid w:val="00F11E79"/>
    <w:rsid w:val="00F133E0"/>
    <w:rsid w:val="00F15CBA"/>
    <w:rsid w:val="00F20258"/>
    <w:rsid w:val="00F2107E"/>
    <w:rsid w:val="00F232B7"/>
    <w:rsid w:val="00F2390F"/>
    <w:rsid w:val="00F245EC"/>
    <w:rsid w:val="00F25A9E"/>
    <w:rsid w:val="00F30153"/>
    <w:rsid w:val="00F31A73"/>
    <w:rsid w:val="00F339EB"/>
    <w:rsid w:val="00F361DD"/>
    <w:rsid w:val="00F40867"/>
    <w:rsid w:val="00F41619"/>
    <w:rsid w:val="00F46619"/>
    <w:rsid w:val="00F46A1D"/>
    <w:rsid w:val="00F47218"/>
    <w:rsid w:val="00F502BF"/>
    <w:rsid w:val="00F50DE6"/>
    <w:rsid w:val="00F5552A"/>
    <w:rsid w:val="00F572D5"/>
    <w:rsid w:val="00F61F29"/>
    <w:rsid w:val="00F62376"/>
    <w:rsid w:val="00F666E1"/>
    <w:rsid w:val="00F679BF"/>
    <w:rsid w:val="00F67A27"/>
    <w:rsid w:val="00F67AF4"/>
    <w:rsid w:val="00F70FFC"/>
    <w:rsid w:val="00F724F8"/>
    <w:rsid w:val="00F735B0"/>
    <w:rsid w:val="00F74E64"/>
    <w:rsid w:val="00F77A30"/>
    <w:rsid w:val="00F803AB"/>
    <w:rsid w:val="00F81759"/>
    <w:rsid w:val="00F8278F"/>
    <w:rsid w:val="00F85434"/>
    <w:rsid w:val="00F85F45"/>
    <w:rsid w:val="00F868D2"/>
    <w:rsid w:val="00F87965"/>
    <w:rsid w:val="00F942DE"/>
    <w:rsid w:val="00F96211"/>
    <w:rsid w:val="00F97951"/>
    <w:rsid w:val="00FA2860"/>
    <w:rsid w:val="00FA3FD4"/>
    <w:rsid w:val="00FA5133"/>
    <w:rsid w:val="00FA564A"/>
    <w:rsid w:val="00FA6B80"/>
    <w:rsid w:val="00FB19C3"/>
    <w:rsid w:val="00FB28F0"/>
    <w:rsid w:val="00FB4F68"/>
    <w:rsid w:val="00FB5D18"/>
    <w:rsid w:val="00FB5D2D"/>
    <w:rsid w:val="00FB72BD"/>
    <w:rsid w:val="00FC0E27"/>
    <w:rsid w:val="00FC110B"/>
    <w:rsid w:val="00FC12EA"/>
    <w:rsid w:val="00FC478D"/>
    <w:rsid w:val="00FC4A29"/>
    <w:rsid w:val="00FC55C0"/>
    <w:rsid w:val="00FC5EB6"/>
    <w:rsid w:val="00FC73B5"/>
    <w:rsid w:val="00FD0AE1"/>
    <w:rsid w:val="00FD5CD9"/>
    <w:rsid w:val="00FE2827"/>
    <w:rsid w:val="00FE3464"/>
    <w:rsid w:val="00FF1E99"/>
    <w:rsid w:val="00FF2033"/>
    <w:rsid w:val="00FF2C69"/>
    <w:rsid w:val="00FF507D"/>
    <w:rsid w:val="00FF5FE0"/>
    <w:rsid w:val="00FF77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14ABF"/>
  <w15:docId w15:val="{9EB3972F-62F7-44BF-B02C-0A867FAB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qFormat/>
    <w:pPr>
      <w:keepNext/>
      <w:outlineLvl w:val="0"/>
    </w:pPr>
    <w:rPr>
      <w:rFonts w:cs="David"/>
      <w:b/>
      <w:bCs/>
      <w:szCs w:val="24"/>
      <w:u w:val="single"/>
    </w:rPr>
  </w:style>
  <w:style w:type="paragraph" w:styleId="2">
    <w:name w:val="heading 2"/>
    <w:basedOn w:val="a"/>
    <w:next w:val="a"/>
    <w:qFormat/>
    <w:rsid w:val="00BC2908"/>
    <w:pPr>
      <w:keepNext/>
      <w:spacing w:before="240" w:after="60"/>
      <w:outlineLvl w:val="1"/>
    </w:pPr>
    <w:rPr>
      <w:rFonts w:ascii="Arial" w:hAnsi="Arial" w:cs="Arial"/>
      <w:b/>
      <w:bCs/>
      <w:i/>
      <w:iCs/>
      <w:sz w:val="28"/>
      <w:szCs w:val="28"/>
    </w:rPr>
  </w:style>
  <w:style w:type="paragraph" w:styleId="4">
    <w:name w:val="heading 4"/>
    <w:basedOn w:val="a0"/>
    <w:next w:val="a"/>
    <w:qFormat/>
    <w:rsid w:val="00681B55"/>
    <w:pPr>
      <w:spacing w:before="360" w:after="120" w:line="240" w:lineRule="auto"/>
      <w:outlineLvl w:val="3"/>
    </w:pPr>
    <w:rPr>
      <w:rFonts w:ascii="Arial" w:hAnsi="Arial"/>
      <w:color w:val="auto"/>
      <w:spacing w:val="2"/>
      <w:szCs w:val="28"/>
    </w:rPr>
  </w:style>
  <w:style w:type="paragraph" w:styleId="5">
    <w:name w:val="heading 5"/>
    <w:basedOn w:val="a"/>
    <w:next w:val="a"/>
    <w:qFormat/>
    <w:pPr>
      <w:keepNext/>
      <w:spacing w:line="360" w:lineRule="auto"/>
      <w:jc w:val="both"/>
      <w:outlineLvl w:val="4"/>
    </w:pPr>
    <w:rPr>
      <w:rFonts w:cs="David"/>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משני"/>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jc w:val="both"/>
    </w:pPr>
    <w:rPr>
      <w:rFonts w:cs="David"/>
      <w:b/>
      <w:bCs/>
      <w:color w:val="FF0000"/>
      <w:sz w:val="22"/>
      <w:szCs w:val="24"/>
      <w:u w:val="single"/>
    </w:rPr>
  </w:style>
  <w:style w:type="paragraph" w:customStyle="1" w:styleId="a4">
    <w:name w:val="ממוספר"/>
    <w:basedOn w:val="a"/>
    <w:pPr>
      <w:tabs>
        <w:tab w:val="left" w:pos="713"/>
        <w:tab w:val="left" w:pos="1152"/>
        <w:tab w:val="left" w:pos="2304"/>
        <w:tab w:val="left" w:pos="3456"/>
        <w:tab w:val="left" w:pos="4608"/>
        <w:tab w:val="left" w:pos="5760"/>
        <w:tab w:val="left" w:pos="6912"/>
        <w:tab w:val="left" w:pos="8063"/>
        <w:tab w:val="left" w:pos="9216"/>
        <w:tab w:val="left" w:pos="10368"/>
      </w:tabs>
      <w:spacing w:line="240" w:lineRule="atLeast"/>
      <w:jc w:val="both"/>
    </w:pPr>
    <w:rPr>
      <w:rFonts w:cs="David"/>
      <w:b/>
      <w:bCs/>
      <w:color w:val="FF0000"/>
      <w:sz w:val="22"/>
      <w:szCs w:val="24"/>
    </w:rPr>
  </w:style>
  <w:style w:type="paragraph" w:customStyle="1" w:styleId="a5">
    <w:name w:val="פרק"/>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jc w:val="center"/>
    </w:pPr>
    <w:rPr>
      <w:rFonts w:cs="David"/>
      <w:b/>
      <w:bCs/>
      <w:sz w:val="22"/>
      <w:szCs w:val="32"/>
      <w:u w:val="single"/>
    </w:rPr>
  </w:style>
  <w:style w:type="paragraph" w:customStyle="1" w:styleId="a6">
    <w:name w:val="ראשי"/>
    <w:basedOn w:val="a"/>
    <w:next w:val="a0"/>
    <w:pPr>
      <w:tabs>
        <w:tab w:val="left" w:pos="1152"/>
        <w:tab w:val="left" w:pos="2304"/>
        <w:tab w:val="left" w:pos="3456"/>
        <w:tab w:val="left" w:pos="4608"/>
        <w:tab w:val="left" w:pos="5760"/>
        <w:tab w:val="left" w:pos="6912"/>
        <w:tab w:val="left" w:pos="8063"/>
        <w:tab w:val="left" w:pos="9216"/>
        <w:tab w:val="left" w:pos="10368"/>
      </w:tabs>
      <w:spacing w:line="240" w:lineRule="atLeast"/>
      <w:jc w:val="both"/>
    </w:pPr>
    <w:rPr>
      <w:rFonts w:cs="David"/>
      <w:color w:val="FF0000"/>
      <w:sz w:val="22"/>
      <w:szCs w:val="28"/>
      <w:u w:val="single"/>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rPr>
      <w:rFonts w:cs="David"/>
      <w:szCs w:val="25"/>
    </w:rPr>
  </w:style>
  <w:style w:type="character" w:styleId="a9">
    <w:name w:val="page number"/>
    <w:basedOn w:val="a1"/>
  </w:style>
  <w:style w:type="paragraph" w:styleId="aa">
    <w:name w:val="Body Text"/>
    <w:basedOn w:val="a"/>
    <w:rPr>
      <w:rFonts w:cs="David"/>
      <w:szCs w:val="24"/>
    </w:rPr>
  </w:style>
  <w:style w:type="paragraph" w:styleId="3">
    <w:name w:val="Body Text 3"/>
    <w:basedOn w:val="a"/>
    <w:pPr>
      <w:jc w:val="both"/>
    </w:pPr>
    <w:rPr>
      <w:rFonts w:ascii="Arial" w:hAnsi="Arial" w:cs="David"/>
      <w:color w:val="FF00FF"/>
      <w:sz w:val="24"/>
      <w:szCs w:val="24"/>
    </w:rPr>
  </w:style>
  <w:style w:type="paragraph" w:styleId="20">
    <w:name w:val="Body Text 2"/>
    <w:basedOn w:val="a"/>
    <w:pPr>
      <w:jc w:val="both"/>
    </w:pPr>
    <w:rPr>
      <w:rFonts w:ascii="Arial" w:hAnsi="Arial" w:cs="David"/>
      <w:sz w:val="24"/>
      <w:szCs w:val="24"/>
    </w:rPr>
  </w:style>
  <w:style w:type="paragraph" w:styleId="ab">
    <w:name w:val="Balloon Text"/>
    <w:basedOn w:val="a"/>
    <w:semiHidden/>
    <w:rsid w:val="00295A0A"/>
    <w:rPr>
      <w:rFonts w:ascii="Tahoma" w:hAnsi="Tahoma" w:cs="Tahoma"/>
      <w:sz w:val="16"/>
      <w:szCs w:val="16"/>
    </w:rPr>
  </w:style>
  <w:style w:type="character" w:styleId="FollowedHyperlink">
    <w:name w:val="FollowedHyperlink"/>
    <w:rsid w:val="00EA5294"/>
    <w:rPr>
      <w:color w:val="800080"/>
      <w:u w:val="single"/>
    </w:rPr>
  </w:style>
  <w:style w:type="table" w:styleId="ac">
    <w:name w:val="Table Grid"/>
    <w:basedOn w:val="a2"/>
    <w:rsid w:val="00E44DE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text1">
    <w:name w:val="paragraphtext1"/>
    <w:rsid w:val="00886DED"/>
    <w:rPr>
      <w:rFonts w:ascii="Arial" w:hAnsi="Arial" w:cs="Arial" w:hint="default"/>
      <w:b w:val="0"/>
      <w:bCs w:val="0"/>
      <w:color w:val="444444"/>
      <w:sz w:val="18"/>
      <w:szCs w:val="18"/>
    </w:rPr>
  </w:style>
  <w:style w:type="character" w:styleId="Hyperlink">
    <w:name w:val="Hyperlink"/>
    <w:rsid w:val="008C6590"/>
    <w:rPr>
      <w:rFonts w:ascii="Arial" w:hAnsi="Arial" w:cs="Arial" w:hint="default"/>
      <w:i w:val="0"/>
      <w:iCs w:val="0"/>
      <w:color w:val="0B3F79"/>
      <w:sz w:val="18"/>
      <w:szCs w:val="18"/>
      <w:u w:val="single"/>
    </w:rPr>
  </w:style>
  <w:style w:type="paragraph" w:customStyle="1" w:styleId="21">
    <w:name w:val="סגנון2"/>
    <w:basedOn w:val="a"/>
    <w:rsid w:val="00141783"/>
    <w:pPr>
      <w:spacing w:before="120" w:line="240" w:lineRule="atLeast"/>
      <w:ind w:left="1134" w:right="1134"/>
      <w:jc w:val="both"/>
    </w:pPr>
    <w:rPr>
      <w:rFonts w:cs="David"/>
      <w:szCs w:val="24"/>
      <w:lang w:eastAsia="he-IL"/>
    </w:rPr>
  </w:style>
  <w:style w:type="character" w:styleId="ad">
    <w:name w:val="footnote reference"/>
    <w:semiHidden/>
    <w:rsid w:val="00141783"/>
    <w:rPr>
      <w:vertAlign w:val="superscript"/>
    </w:rPr>
  </w:style>
  <w:style w:type="paragraph" w:customStyle="1" w:styleId="10">
    <w:name w:val="סגנון1"/>
    <w:basedOn w:val="a"/>
    <w:rsid w:val="00141783"/>
    <w:pPr>
      <w:spacing w:before="120"/>
      <w:ind w:left="964" w:right="964" w:hanging="454"/>
      <w:jc w:val="both"/>
    </w:pPr>
    <w:rPr>
      <w:rFonts w:cs="David"/>
      <w:szCs w:val="24"/>
      <w:lang w:eastAsia="he-IL"/>
    </w:rPr>
  </w:style>
  <w:style w:type="paragraph" w:styleId="ae">
    <w:name w:val="footnote text"/>
    <w:basedOn w:val="a"/>
    <w:semiHidden/>
    <w:rsid w:val="00141783"/>
    <w:pPr>
      <w:ind w:left="340" w:right="340" w:hanging="340"/>
      <w:jc w:val="both"/>
    </w:pPr>
    <w:rPr>
      <w:rFonts w:cs="David"/>
      <w:szCs w:val="24"/>
      <w:lang w:eastAsia="he-IL"/>
    </w:rPr>
  </w:style>
  <w:style w:type="paragraph" w:customStyle="1" w:styleId="af">
    <w:name w:val="טקסט"/>
    <w:basedOn w:val="a"/>
    <w:rsid w:val="00141783"/>
    <w:pPr>
      <w:spacing w:before="120" w:line="240" w:lineRule="atLeast"/>
      <w:ind w:left="510" w:right="510"/>
      <w:jc w:val="both"/>
    </w:pPr>
    <w:rPr>
      <w:rFonts w:cs="David"/>
      <w:szCs w:val="24"/>
      <w:lang w:eastAsia="he-IL"/>
    </w:rPr>
  </w:style>
  <w:style w:type="character" w:customStyle="1" w:styleId="HebrewChar">
    <w:name w:val="Hebrew_Char"/>
    <w:rsid w:val="00AB66F1"/>
  </w:style>
  <w:style w:type="paragraph" w:styleId="af0">
    <w:name w:val="List Paragraph"/>
    <w:basedOn w:val="a"/>
    <w:uiPriority w:val="34"/>
    <w:qFormat/>
    <w:rsid w:val="00116EE2"/>
    <w:pPr>
      <w:ind w:left="720"/>
      <w:contextualSpacing/>
    </w:pPr>
    <w:rPr>
      <w:rFonts w:ascii="Arial" w:hAnsi="Arial" w:cs="David"/>
      <w:sz w:val="16"/>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9096">
      <w:bodyDiv w:val="1"/>
      <w:marLeft w:val="0"/>
      <w:marRight w:val="0"/>
      <w:marTop w:val="0"/>
      <w:marBottom w:val="0"/>
      <w:divBdr>
        <w:top w:val="none" w:sz="0" w:space="0" w:color="auto"/>
        <w:left w:val="none" w:sz="0" w:space="0" w:color="auto"/>
        <w:bottom w:val="none" w:sz="0" w:space="0" w:color="auto"/>
        <w:right w:val="none" w:sz="0" w:space="0" w:color="auto"/>
      </w:divBdr>
    </w:div>
    <w:div w:id="53242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bankisrael.gov.il/" TargetMode="External"/><Relationship Id="rId4" Type="http://schemas.openxmlformats.org/officeDocument/2006/relationships/settings" Target="settings.xml"/><Relationship Id="rId9" Type="http://schemas.openxmlformats.org/officeDocument/2006/relationships/hyperlink" Target="http://www.tase.co.il/TASE/Products/Bonds/Overview/Overview.htm" TargetMode="External"/><Relationship Id="rId14" Type="http://schemas.openxmlformats.org/officeDocument/2006/relationships/customXml" Target="../customXml/item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AD03189AAB4B1341A965ECDEDBDA5BBF" ma:contentTypeVersion="2" ma:contentTypeDescription="צור מסמך חדש." ma:contentTypeScope="" ma:versionID="bf60a42b6d905fe90c5857ab6fafe1b4">
  <xsd:schema xmlns:xsd="http://www.w3.org/2001/XMLSchema" xmlns:xs="http://www.w3.org/2001/XMLSchema" xmlns:p="http://schemas.microsoft.com/office/2006/metadata/properties" targetNamespace="http://schemas.microsoft.com/office/2006/metadata/properties" ma:root="true" ma:fieldsID="6c609f2c74d4fa1e874207a728ce77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7F4E9-F259-40D4-BEA7-53503419614F}">
  <ds:schemaRefs>
    <ds:schemaRef ds:uri="http://schemas.openxmlformats.org/officeDocument/2006/bibliography"/>
  </ds:schemaRefs>
</ds:datastoreItem>
</file>

<file path=customXml/itemProps2.xml><?xml version="1.0" encoding="utf-8"?>
<ds:datastoreItem xmlns:ds="http://schemas.openxmlformats.org/officeDocument/2006/customXml" ds:itemID="{E428D992-777F-4024-9A3E-A17841AD5FBF}"/>
</file>

<file path=customXml/itemProps3.xml><?xml version="1.0" encoding="utf-8"?>
<ds:datastoreItem xmlns:ds="http://schemas.openxmlformats.org/officeDocument/2006/customXml" ds:itemID="{FC35C068-5E2A-432C-9F68-CD11E0821AFB}"/>
</file>

<file path=customXml/itemProps4.xml><?xml version="1.0" encoding="utf-8"?>
<ds:datastoreItem xmlns:ds="http://schemas.openxmlformats.org/officeDocument/2006/customXml" ds:itemID="{74127E56-C1C6-4536-AC3D-5D2D13D0E56E}"/>
</file>

<file path=docProps/app.xml><?xml version="1.0" encoding="utf-8"?>
<Properties xmlns="http://schemas.openxmlformats.org/officeDocument/2006/extended-properties" xmlns:vt="http://schemas.openxmlformats.org/officeDocument/2006/docPropsVTypes">
  <Template>Normal</Template>
  <TotalTime>200</TotalTime>
  <Pages>5</Pages>
  <Words>1651</Words>
  <Characters>8257</Characters>
  <Application>Microsoft Office Word</Application>
  <DocSecurity>0</DocSecurity>
  <Lines>68</Lines>
  <Paragraphs>19</Paragraphs>
  <ScaleCrop>false</ScaleCrop>
  <HeadingPairs>
    <vt:vector size="2" baseType="variant">
      <vt:variant>
        <vt:lpstr>שם</vt:lpstr>
      </vt:variant>
      <vt:variant>
        <vt:i4>1</vt:i4>
      </vt:variant>
    </vt:vector>
  </HeadingPairs>
  <TitlesOfParts>
    <vt:vector size="1" baseType="lpstr">
      <vt:lpstr>פרק  4  -  מסחר ושירותים</vt:lpstr>
    </vt:vector>
  </TitlesOfParts>
  <Company>עיריית ת"א-יפו</Company>
  <LinksUpToDate>false</LinksUpToDate>
  <CharactersWithSpaces>9889</CharactersWithSpaces>
  <SharedDoc>false</SharedDoc>
  <HLinks>
    <vt:vector size="18" baseType="variant">
      <vt:variant>
        <vt:i4>5898332</vt:i4>
      </vt:variant>
      <vt:variant>
        <vt:i4>6</vt:i4>
      </vt:variant>
      <vt:variant>
        <vt:i4>0</vt:i4>
      </vt:variant>
      <vt:variant>
        <vt:i4>5</vt:i4>
      </vt:variant>
      <vt:variant>
        <vt:lpwstr>http://www.bankisrael.gov.il/</vt:lpwstr>
      </vt:variant>
      <vt:variant>
        <vt:lpwstr/>
      </vt:variant>
      <vt:variant>
        <vt:i4>6488160</vt:i4>
      </vt:variant>
      <vt:variant>
        <vt:i4>3</vt:i4>
      </vt:variant>
      <vt:variant>
        <vt:i4>0</vt:i4>
      </vt:variant>
      <vt:variant>
        <vt:i4>5</vt:i4>
      </vt:variant>
      <vt:variant>
        <vt:lpwstr>http://www.tase.co.il/TASE/Products/Bonds/Overview/Overview.htm</vt:lpwstr>
      </vt:variant>
      <vt:variant>
        <vt:lpwstr/>
      </vt:variant>
      <vt:variant>
        <vt:i4>8126589</vt:i4>
      </vt:variant>
      <vt:variant>
        <vt:i4>0</vt:i4>
      </vt:variant>
      <vt:variant>
        <vt:i4>0</vt:i4>
      </vt:variant>
      <vt:variant>
        <vt:i4>5</vt:i4>
      </vt:variant>
      <vt:variant>
        <vt:lpwstr>http://www.gov.il/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פרק  4  -  מסחר ושירותים</dc:title>
  <dc:creator>בן ארבון איילה</dc:creator>
  <cp:lastModifiedBy>שירית דרמן - רכזת סקרים ומחקרים</cp:lastModifiedBy>
  <cp:revision>30</cp:revision>
  <cp:lastPrinted>2016-11-17T12:58:00Z</cp:lastPrinted>
  <dcterms:created xsi:type="dcterms:W3CDTF">2018-01-23T07:10:00Z</dcterms:created>
  <dcterms:modified xsi:type="dcterms:W3CDTF">2026-02-19T11:58:00Z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0x010100AD03189AAB4B1341A965ECDEDBDA5BBF</vt:lpwstr>
  </property>
</Properties>
</file>